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b/>
        </w:rPr>
      </w:pPr>
      <w:r>
        <w:rPr>
          <w:b/>
        </w:rPr>
        <w:t>Приложение № 3</w:t>
      </w:r>
    </w:p>
    <w:p>
      <w:pPr>
        <w:jc w:val="right"/>
      </w:pPr>
      <w:r>
        <w:t>К Приказу №</w:t>
      </w:r>
      <w:r>
        <w:rPr>
          <w:rFonts w:hint="default"/>
          <w:lang w:val="ru-RU"/>
        </w:rPr>
        <w:t>549</w:t>
      </w:r>
      <w:r>
        <w:t xml:space="preserve"> от </w:t>
      </w:r>
      <w:r>
        <w:rPr>
          <w:highlight w:val="none"/>
        </w:rPr>
        <w:t>29</w:t>
      </w:r>
      <w:r>
        <w:t>.12.2023г.</w:t>
      </w:r>
    </w:p>
    <w:p>
      <w:pPr>
        <w:jc w:val="right"/>
        <w:rPr>
          <w:rFonts w:ascii="Calibri" w:hAnsi="Calibri" w:eastAsia="Calibri" w:cs="Calibri"/>
          <w:b/>
          <w:bCs/>
          <w:sz w:val="22"/>
          <w:szCs w:val="22"/>
          <w:lang w:eastAsia="en-US"/>
        </w:rPr>
      </w:pPr>
    </w:p>
    <w:p>
      <w:pPr>
        <w:widowControl w:val="0"/>
        <w:autoSpaceDE w:val="0"/>
        <w:autoSpaceDN w:val="0"/>
        <w:adjustRightInd w:val="0"/>
        <w:jc w:val="center"/>
        <w:rPr>
          <w:rFonts w:eastAsia="Calibri"/>
          <w:b/>
          <w:bCs/>
          <w:sz w:val="22"/>
          <w:szCs w:val="22"/>
          <w:lang w:eastAsia="en-US"/>
        </w:rPr>
      </w:pPr>
    </w:p>
    <w:p>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pPr>
        <w:pStyle w:val="38"/>
        <w:jc w:val="center"/>
        <w:rPr>
          <w:highlight w:val="none"/>
        </w:rPr>
      </w:pPr>
      <w:r>
        <w:rPr>
          <w:b/>
          <w:highlight w:val="none"/>
          <w:u w:val="single"/>
        </w:rPr>
        <w:t>МА</w:t>
      </w:r>
      <w:r>
        <w:rPr>
          <w:b/>
          <w:highlight w:val="none"/>
          <w:u w:val="single"/>
          <w:lang w:val="ru-RU"/>
        </w:rPr>
        <w:t>ДО</w:t>
      </w:r>
      <w:r>
        <w:rPr>
          <w:b/>
          <w:highlight w:val="none"/>
          <w:u w:val="single"/>
        </w:rPr>
        <w:t>У</w:t>
      </w:r>
      <w:r>
        <w:rPr>
          <w:rFonts w:hint="default"/>
          <w:b/>
          <w:highlight w:val="none"/>
          <w:u w:val="single"/>
          <w:lang w:val="ru-RU"/>
        </w:rPr>
        <w:t xml:space="preserve"> города Нижневартовска ДС №80</w:t>
      </w:r>
      <w:r>
        <w:rPr>
          <w:b/>
          <w:highlight w:val="none"/>
          <w:u w:val="single"/>
        </w:rPr>
        <w:t xml:space="preserve"> «</w:t>
      </w:r>
      <w:r>
        <w:rPr>
          <w:b/>
          <w:highlight w:val="none"/>
          <w:u w:val="single"/>
          <w:lang w:val="ru-RU"/>
        </w:rPr>
        <w:t>Светлячок</w:t>
      </w:r>
      <w:r>
        <w:rPr>
          <w:b/>
          <w:highlight w:val="none"/>
          <w:u w:val="single"/>
        </w:rPr>
        <w:t>»</w:t>
      </w:r>
    </w:p>
    <w:p>
      <w:pPr>
        <w:jc w:val="right"/>
      </w:pPr>
    </w:p>
    <w:p>
      <w:pPr>
        <w:keepNext/>
        <w:keepLines/>
        <w:numPr>
          <w:ilvl w:val="0"/>
          <w:numId w:val="2"/>
        </w:numPr>
        <w:spacing w:before="240" w:after="120" w:line="276" w:lineRule="auto"/>
        <w:jc w:val="center"/>
        <w:outlineLvl w:val="0"/>
        <w:rPr>
          <w:b/>
          <w:bCs/>
          <w:szCs w:val="28"/>
        </w:rPr>
      </w:pPr>
      <w:bookmarkStart w:id="0" w:name="_ref_15921"/>
      <w:r>
        <w:rPr>
          <w:b/>
          <w:bCs/>
          <w:szCs w:val="28"/>
        </w:rPr>
        <w:t>Организационные положения</w:t>
      </w:r>
      <w:bookmarkEnd w:id="0"/>
    </w:p>
    <w:p>
      <w:pPr>
        <w:numPr>
          <w:ilvl w:val="1"/>
          <w:numId w:val="0"/>
        </w:numPr>
        <w:spacing w:line="276" w:lineRule="auto"/>
        <w:ind w:firstLine="482"/>
        <w:jc w:val="both"/>
        <w:outlineLvl w:val="1"/>
        <w:rPr>
          <w:bCs/>
        </w:rPr>
      </w:pPr>
      <w:bookmarkStart w:id="1" w:name="_ref_300807"/>
      <w:r>
        <w:rPr>
          <w:bCs/>
          <w:sz w:val="22"/>
          <w:szCs w:val="26"/>
        </w:rPr>
        <w:t xml:space="preserve">1.1. </w:t>
      </w:r>
      <w:r>
        <w:rPr>
          <w:bCs/>
        </w:rPr>
        <w:t>Учетная политика</w:t>
      </w:r>
      <w:r>
        <w:rPr>
          <w:bCs/>
          <w:highlight w:val="none"/>
        </w:rPr>
        <w:t xml:space="preserve"> МА</w:t>
      </w:r>
      <w:r>
        <w:rPr>
          <w:bCs/>
          <w:highlight w:val="none"/>
          <w:lang w:val="ru-RU"/>
        </w:rPr>
        <w:t>ДО</w:t>
      </w:r>
      <w:r>
        <w:rPr>
          <w:bCs/>
          <w:highlight w:val="none"/>
        </w:rPr>
        <w:t>У</w:t>
      </w:r>
      <w:r>
        <w:rPr>
          <w:rFonts w:hint="default"/>
          <w:bCs/>
          <w:highlight w:val="none"/>
          <w:lang w:val="ru-RU"/>
        </w:rPr>
        <w:t xml:space="preserve"> города Нижневартовска ДС №80</w:t>
      </w:r>
      <w:r>
        <w:rPr>
          <w:bCs/>
          <w:highlight w:val="none"/>
        </w:rPr>
        <w:t xml:space="preserve"> «</w:t>
      </w:r>
      <w:r>
        <w:rPr>
          <w:bCs/>
          <w:highlight w:val="none"/>
          <w:lang w:val="ru-RU"/>
        </w:rPr>
        <w:t>Светлячок</w:t>
      </w:r>
      <w:r>
        <w:rPr>
          <w:bCs/>
          <w:highlight w:val="none"/>
        </w:rPr>
        <w:t xml:space="preserve">» </w:t>
      </w:r>
      <w:r>
        <w:rPr>
          <w:bCs/>
        </w:rPr>
        <w:t>(далее Учетная политика) разработана в соответствии с требованиями следующих документов:</w:t>
      </w:r>
      <w:bookmarkEnd w:id="1"/>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"https://cloud.consultant.ru/cloud/cgi/online.cgi?ref=9D8161AA42813FF2C5CEF20345109A18045E915A4D486592BF0D91A3DD55F1698951AD87C989255BD5FAE996C40691654393C4422B6702763792395C742FD69E8EDC4717EA615CE677B5d6R0M" </w:instrText>
      </w:r>
      <w:r>
        <w:fldChar w:fldCharType="separate"/>
      </w:r>
      <w:r>
        <w:t>закон</w:t>
      </w:r>
      <w:r>
        <w:fldChar w:fldCharType="end"/>
      </w:r>
      <w:r>
        <w:t xml:space="preserve"> от 06.12.2011 № 402-ФЗ "О бухгалтерском учете" (далее - Закон № 402-ФЗ);</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"https://cloud.consultant.ru/cloud/cgi/online.cgi?ref=9D8161AA42813FF2C5CEF20345109A18045E915A4D486592BF0D91A3DD55F1698951AD87C989255BD5FBE892CA0D9E654393C4422B6702763792395C742FD69E8EDC4717EA615CE677B5d6R0M" </w:instrText>
      </w:r>
      <w:r>
        <w:fldChar w:fldCharType="separate"/>
      </w:r>
      <w:r>
        <w:t>закон</w:t>
      </w:r>
      <w:r>
        <w:fldChar w:fldCharType="end"/>
      </w:r>
      <w:r>
        <w:t xml:space="preserve"> от 03.11.2006 № 174-ФЗ "Об автономных учреждениях" (далее - Закон № 174-ФЗ);</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"https://cloud.consultant.ru/cloud/cgi/online.cgi?ref=9D8161AA42813FF2C5CEF20345109A18045E915A4D486592BF0D91A3DD55F1698951AD87C989255BD5FBE893C30799654393C4422B6702763792395C742FD69E8FDD4C4BBB23d1R3M"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r>
        <w:fldChar w:fldCharType="begin"/>
      </w:r>
      <w:r>
        <w:instrText xml:space="preserve"> HYPERLINK "https://cloud.consultant.ru/cloud/cgi/online.cgi?ref=9D8161AA42813FF2C5CEF20345109A18045E915A4D486592BF0D91A3DD55F1698951AD87C989255BD5FBE893C30799654393C4422B6702763792395C742FD69E8FDD4C4BBB23d1R3M" </w:instrText>
      </w:r>
      <w:r>
        <w:fldChar w:fldCharType="separate"/>
      </w:r>
      <w:r>
        <w:t>СГС</w:t>
      </w:r>
      <w:r>
        <w:fldChar w:fldCharType="end"/>
      </w:r>
      <w:r>
        <w:t xml:space="preserve"> "Концептуальные основы");</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"https://cloud.consultant.ru/cloud/cgi/online.cgi?ref=9D8161AA42813FF2C5CEF20345109A18045E915A4D486592BF0D91A3DD55F1698951AD87C989255BD5FBE893C30491654393C4422B6702763792395C742FD69E8FDD4C4BBB23d1R3M"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r>
        <w:fldChar w:fldCharType="begin"/>
      </w:r>
      <w:r>
        <w:instrText xml:space="preserve"> HYPERLINK "https://cloud.consultant.ru/cloud/cgi/online.cgi?ref=9D8161AA42813FF2C5CEF20345109A18045E915A4D486592BF0D91A3DD55F1698951AD87C989255BD5FBE893C30491654393C4422B6702763792395C742FD69E8FDD4C4BBB23d1R3M" </w:instrText>
      </w:r>
      <w:r>
        <w:fldChar w:fldCharType="separate"/>
      </w:r>
      <w:r>
        <w:t>СГС</w:t>
      </w:r>
      <w:r>
        <w:fldChar w:fldCharType="end"/>
      </w:r>
      <w:r>
        <w:t xml:space="preserve"> "Основные средства");</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"https://cloud.consultant.ru/cloud/cgi/online.cgi?ref=9D8161AA42813FF2C5CEF20345109A18045E915A4D486592BF0D91A3DD55F1698951AD87C989255BD5FBE893C10091654393C4422B6702763792395C742FD69E8FDD4C4BBB23d1R3M"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"Аренда", утвержденный Приказом Минфина России от 31.12.2016 № 258н (далее - </w:t>
      </w:r>
      <w:r>
        <w:fldChar w:fldCharType="begin"/>
      </w:r>
      <w:r>
        <w:instrText xml:space="preserve"> HYPERLINK "https://cloud.consultant.ru/cloud/cgi/online.cgi?ref=9D8161AA42813FF2C5CEF20345109A18045E915A4D486592BF0D91A3DD55F1698951AD87C989255BD5FBE893C10091654393C4422B6702763792395C742FD69E8FDD4C4BBB23d1R3M" </w:instrText>
      </w:r>
      <w:r>
        <w:fldChar w:fldCharType="separate"/>
      </w:r>
      <w:r>
        <w:t>СГС</w:t>
      </w:r>
      <w:r>
        <w:fldChar w:fldCharType="end"/>
      </w:r>
      <w:r>
        <w:t xml:space="preserve"> "Аренда");</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"https://cloud.consultant.ru/cloud/cgi/online.cgi?ref=9D8161AA42813FF2C5CEF20345109A18045E915A4D486592BF0D91A3DD55F1698951AD87C989255BD5FBE893C30798654393C4422B6702763792395C742FD69E8FDD4C4BBB23d1R3M"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r>
        <w:fldChar w:fldCharType="begin"/>
      </w:r>
      <w:r>
        <w:instrText xml:space="preserve"> HYPERLINK "https://cloud.consultant.ru/cloud/cgi/online.cgi?ref=9D8161AA42813FF2C5CEF20345109A18045E915A4D486592BF0D91A3DD55F1698951AD87C989255BD5FBE893C30798654393C4422B6702763792395C742FD69E8FDD4C4BBB23d1R3M" </w:instrText>
      </w:r>
      <w:r>
        <w:fldChar w:fldCharType="separate"/>
      </w:r>
      <w:r>
        <w:t>СГС</w:t>
      </w:r>
      <w:r>
        <w:fldChar w:fldCharType="end"/>
      </w:r>
      <w:r>
        <w:t xml:space="preserve"> "Обесценение активов");</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"https://cloud.consultant.ru/cloud/cgi/online.cgi?ref=9D8161AA42813FF2C5CEF20345109A18045E915A4D486592BF0D91A3DD55F1698951AD87C989255BD5FBE893C30490654393C4422B6702763792395C742FD69E8FDD4C4BBB23d1R3M"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r>
        <w:fldChar w:fldCharType="begin"/>
      </w:r>
      <w:r>
        <w:instrText xml:space="preserve"> HYPERLINK "https://cloud.consultant.ru/cloud/cgi/online.cgi?ref=9D8161AA42813FF2C5CEF20345109A18045E915A4D486592BF0D91A3DD55F1698951AD87C989255BD5FBE893C30490654393C4422B6702763792395C742FD69E8FDD4C4BBB23d1R3M" </w:instrText>
      </w:r>
      <w:r>
        <w:fldChar w:fldCharType="separate"/>
      </w:r>
      <w:r>
        <w:t>СГС</w:t>
      </w:r>
      <w:r>
        <w:fldChar w:fldCharType="end"/>
      </w:r>
      <w:r>
        <w:t xml:space="preserve"> "Представление отчетности");</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"https://cloud.consultant.ru/cloud/cgi/online.cgi?ref=9D8161AA42813FF2C5CEF20345109A18045E915A4D486592BF0D91A3DD55F1698951AD87C989255BD5FBE091C30D9A654393C4422B6702763792395C742FD69E8FDD4C4BBB23d1R3M"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r>
        <w:fldChar w:fldCharType="begin"/>
      </w:r>
      <w:r>
        <w:instrText xml:space="preserve"> HYPERLINK "https://cloud.consultant.ru/cloud/cgi/online.cgi?ref=9D8161AA42813FF2C5CEF20345109A18045E915A4D486592BF0D91A3DD55F1698951AD87C989255BD5FBE091C30D9A654393C4422B6702763792395C742FD69E8FDD4C4BBB23d1R3M" </w:instrText>
      </w:r>
      <w:r>
        <w:fldChar w:fldCharType="separate"/>
      </w:r>
      <w:r>
        <w:t>СГС</w:t>
      </w:r>
      <w:r>
        <w:fldChar w:fldCharType="end"/>
      </w:r>
      <w:r>
        <w:t xml:space="preserve"> "Отчет о движении денежных средств");</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"https://cloud.consultant.ru/cloud/cgi/online.cgi?ref=9D8161AA42813FF2C5CEF20345109A18045E915A4D486592BF0D91A3DD55F1698951AD87C989255BD5FBE09DC1019F654393C4422B6702763792395C742FD69E8FDD4C4BBB23d1R3M"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r>
        <w:fldChar w:fldCharType="begin"/>
      </w:r>
      <w:r>
        <w:instrText xml:space="preserve"> HYPERLINK "https://cloud.consultant.ru/cloud/cgi/online.cgi?ref=9D8161AA42813FF2C5CEF20345109A18045E915A4D486592BF0D91A3DD55F1698951AD87C989255BD5FBE09DC1019F654393C4422B6702763792395C742FD69E8FDD4C4BBB23d1R3M" </w:instrText>
      </w:r>
      <w:r>
        <w:fldChar w:fldCharType="separate"/>
      </w:r>
      <w:r>
        <w:t>СГС</w:t>
      </w:r>
      <w:r>
        <w:fldChar w:fldCharType="end"/>
      </w:r>
      <w:r>
        <w:t xml:space="preserve"> "Учетная политика");</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"https://cloud.consultant.ru/cloud/cgi/online.cgi?ref=9D8161AA42813FF2C5CEF20345109A18045E915A4D486592BF0D91A3DD55F1698951AD87C989255BD5FBE09DC1029A654393C4422B6702763792395C742FD69E8FDD4C4BBB23d1R3M"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r>
        <w:fldChar w:fldCharType="begin"/>
      </w:r>
      <w:r>
        <w:instrText xml:space="preserve"> HYPERLINK "https://cloud.consultant.ru/cloud/cgi/online.cgi?ref=9D8161AA42813FF2C5CEF20345109A18045E915A4D486592BF0D91A3DD55F1698951AD87C989255BD5FBE09DC1029A654393C4422B6702763792395C742FD69E8FDD4C4BBB23d1R3M" </w:instrText>
      </w:r>
      <w:r>
        <w:fldChar w:fldCharType="separate"/>
      </w:r>
      <w:r>
        <w:t>СГС</w:t>
      </w:r>
      <w:r>
        <w:fldChar w:fldCharType="end"/>
      </w:r>
      <w:r>
        <w:t xml:space="preserve"> "События после отчетной даты");</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"https://cloud.consultant.ru/cloud/cgi/online.cgi?ref=9D8161AA42813FF2C5CEF20345109A18045E915A4D486592BF0D91A3DD55F1698951AD87C989255BD5FBE09DC10190654393C4422B6702763792395C742FD69E8FDD4C4BBB23d1R3M"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"Доходы", утвержденный Приказом Минфина России от 27.02.2018 № 32н (далее - </w:t>
      </w:r>
      <w:r>
        <w:fldChar w:fldCharType="begin"/>
      </w:r>
      <w:r>
        <w:instrText xml:space="preserve"> HYPERLINK "https://cloud.consultant.ru/cloud/cgi/online.cgi?ref=9D8161AA42813FF2C5CEF20345109A18045E915A4D486592BF0D91A3DD55F1698951AD87C989255BD5FBE09DC10190654393C4422B6702763792395C742FD69E8FDD4C4BBB23d1R3M" </w:instrText>
      </w:r>
      <w:r>
        <w:fldChar w:fldCharType="separate"/>
      </w:r>
      <w:r>
        <w:t>СГС</w:t>
      </w:r>
      <w:r>
        <w:fldChar w:fldCharType="end"/>
      </w:r>
      <w:r>
        <w:t xml:space="preserve"> "Доходы");</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"https://cloud.consultant.ru/cloud/cgi/online.cgi?ref=9D8161AA42813FF2C5CEF20345109A18045E915A4D486592BF0D91A3DD55F1698951AD87C989255BD5FAE994C6039B654393C4422B6702763792395C742FD69E8FDD4C4BBB23d1R3M" </w:instrText>
      </w:r>
      <w:r>
        <w:fldChar w:fldCharType="separate"/>
      </w:r>
      <w:r>
        <w:t>стандарт</w:t>
      </w:r>
      <w:r>
        <w:fldChar w:fldCharType="end"/>
      </w:r>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r>
        <w:fldChar w:fldCharType="begin"/>
      </w:r>
      <w:r>
        <w:instrText xml:space="preserve"> HYPERLINK "https://cloud.consultant.ru/cloud/cgi/online.cgi?ref=9D8161AA42813FF2C5CEF20345109A18045E915A4D486592BF0D91A3DD55F1698951AD87C989255BD5FAE994C6039B654393C4422B6702763792395C742FD69E8FDD4C4BBB23d1R3M" </w:instrText>
      </w:r>
      <w:r>
        <w:fldChar w:fldCharType="separate"/>
      </w:r>
      <w:r>
        <w:t>СГС</w:t>
      </w:r>
      <w:r>
        <w:fldChar w:fldCharType="end"/>
      </w:r>
      <w:r>
        <w:t xml:space="preserve"> "Влияние изменений курсов иностранных валют");</w:t>
      </w:r>
    </w:p>
    <w:p>
      <w:pPr>
        <w:numPr>
          <w:ilvl w:val="0"/>
          <w:numId w:val="3"/>
        </w:numPr>
        <w:spacing w:line="276" w:lineRule="auto"/>
        <w:ind w:left="480" w:leftChars="0" w:firstLineChars="0"/>
        <w:contextualSpacing/>
        <w:jc w:val="both"/>
      </w:pPr>
      <w: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pPr>
        <w:numPr>
          <w:ilvl w:val="0"/>
          <w:numId w:val="3"/>
        </w:numPr>
        <w:spacing w:line="276" w:lineRule="auto"/>
        <w:ind w:left="480" w:leftChars="0" w:firstLineChars="0"/>
        <w:contextualSpacing/>
        <w:jc w:val="both"/>
      </w:pPr>
      <w:r>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"https://login.consultant.ru/link/?req=doc&amp;base=RZB&amp;n=298707&amp;date=11.02.2020&amp;dst=100011&amp;fld=134" </w:instrText>
      </w:r>
      <w:r>
        <w:fldChar w:fldCharType="separate"/>
      </w:r>
      <w:r>
        <w:rPr>
          <w:rStyle w:val="17"/>
          <w:color w:val="auto"/>
          <w:u w:val="none"/>
        </w:rPr>
        <w:t>стандарт</w:t>
      </w:r>
      <w:r>
        <w:rPr>
          <w:rStyle w:val="17"/>
          <w:color w:val="auto"/>
          <w:u w:val="none"/>
        </w:rPr>
        <w:fldChar w:fldCharType="end"/>
      </w:r>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"https://login.consultant.ru/link/?req=doc&amp;base=RZB&amp;n=301464&amp;date=11.02.2020&amp;dst=100011&amp;fld=134" </w:instrText>
      </w:r>
      <w:r>
        <w:fldChar w:fldCharType="separate"/>
      </w:r>
      <w:r>
        <w:rPr>
          <w:rStyle w:val="17"/>
          <w:color w:val="auto"/>
          <w:u w:val="none"/>
        </w:rPr>
        <w:t>стандарт</w:t>
      </w:r>
      <w:r>
        <w:rPr>
          <w:rStyle w:val="17"/>
          <w:color w:val="auto"/>
          <w:u w:val="none"/>
        </w:rPr>
        <w:fldChar w:fldCharType="end"/>
      </w:r>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"https://login.consultant.ru/link/?req=doc&amp;base=RZB&amp;n=344306&amp;date=11.02.2020&amp;dst=100011&amp;fld=134" </w:instrText>
      </w:r>
      <w:r>
        <w:fldChar w:fldCharType="separate"/>
      </w:r>
      <w:r>
        <w:rPr>
          <w:rStyle w:val="17"/>
          <w:color w:val="auto"/>
          <w:u w:val="none"/>
        </w:rPr>
        <w:t>стандарт</w:t>
      </w:r>
      <w:r>
        <w:rPr>
          <w:rStyle w:val="17"/>
          <w:color w:val="auto"/>
          <w:u w:val="none"/>
        </w:rPr>
        <w:fldChar w:fldCharType="end"/>
      </w:r>
      <w: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pPr>
        <w:numPr>
          <w:ilvl w:val="0"/>
          <w:numId w:val="3"/>
        </w:numPr>
        <w:spacing w:line="276" w:lineRule="auto"/>
        <w:ind w:left="480" w:leftChars="0" w:firstLineChars="0"/>
        <w:contextualSpacing/>
        <w:jc w:val="both"/>
      </w:pPr>
      <w:r>
        <w:t xml:space="preserve">Федеральный </w:t>
      </w:r>
      <w:r>
        <w:fldChar w:fldCharType="begin"/>
      </w:r>
      <w:r>
        <w:instrText xml:space="preserve"> HYPERLINK "https://login.consultant.ru/link/?req=doc&amp;base=RZB&amp;n=315851&amp;date=11.02.2020&amp;dst=100011&amp;fld=134" </w:instrText>
      </w:r>
      <w:r>
        <w:fldChar w:fldCharType="separate"/>
      </w:r>
      <w:r>
        <w:rPr>
          <w:rStyle w:val="17"/>
          <w:color w:val="auto"/>
          <w:u w:val="none"/>
        </w:rPr>
        <w:t>стандарт</w:t>
      </w:r>
      <w:r>
        <w:rPr>
          <w:rStyle w:val="17"/>
          <w:color w:val="auto"/>
          <w:u w:val="none"/>
        </w:rPr>
        <w:fldChar w:fldCharType="end"/>
      </w:r>
      <w: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pPr>
        <w:numPr>
          <w:ilvl w:val="0"/>
          <w:numId w:val="3"/>
        </w:numPr>
        <w:spacing w:line="276" w:lineRule="auto"/>
        <w:ind w:left="480" w:leftChars="0" w:firstLineChars="0"/>
        <w:contextualSpacing/>
        <w:jc w:val="both"/>
      </w:pPr>
      <w:r>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pPr>
        <w:numPr>
          <w:ilvl w:val="0"/>
          <w:numId w:val="3"/>
        </w:numPr>
        <w:spacing w:line="276" w:lineRule="auto"/>
        <w:ind w:left="480" w:leftChars="0" w:firstLineChars="0"/>
        <w:contextualSpacing/>
        <w:jc w:val="both"/>
      </w:pPr>
      <w:r>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pPr>
        <w:numPr>
          <w:ilvl w:val="0"/>
          <w:numId w:val="3"/>
        </w:numPr>
        <w:spacing w:line="276" w:lineRule="auto"/>
        <w:ind w:left="480" w:leftChars="0" w:firstLineChars="0"/>
        <w:contextualSpacing/>
        <w:jc w:val="both"/>
      </w:pPr>
      <w:r>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pPr>
        <w:numPr>
          <w:ilvl w:val="0"/>
          <w:numId w:val="3"/>
        </w:numPr>
        <w:spacing w:line="276" w:lineRule="auto"/>
        <w:ind w:left="480" w:leftChars="0" w:firstLineChars="0"/>
        <w:contextualSpacing/>
        <w:jc w:val="both"/>
      </w:pPr>
      <w:r>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pPr>
        <w:numPr>
          <w:ilvl w:val="0"/>
          <w:numId w:val="3"/>
        </w:numPr>
        <w:spacing w:line="276" w:lineRule="auto"/>
        <w:ind w:left="480" w:leftChars="0" w:firstLineChars="0"/>
        <w:contextualSpacing/>
        <w:jc w:val="both"/>
      </w:pPr>
      <w:r>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pPr>
        <w:numPr>
          <w:ilvl w:val="0"/>
          <w:numId w:val="3"/>
        </w:numPr>
        <w:spacing w:line="276" w:lineRule="auto"/>
        <w:ind w:left="480" w:leftChars="0" w:firstLineChars="0"/>
        <w:contextualSpacing/>
        <w:jc w:val="both"/>
      </w:pPr>
      <w:r>
        <w:t xml:space="preserve">Единый </w:t>
      </w:r>
      <w:r>
        <w:fldChar w:fldCharType="begin"/>
      </w:r>
      <w:r>
        <w:instrText xml:space="preserve"> HYPERLINK "https://cloud.consultant.ru/cloud/cgi/online.cgi?ref=9D8161AA42813FF2C5CEF20345109A18045E915A4D486592BF0D91A3DD55F1698951AD87C989255BD5FBE092C10199654393C4422B6702763792395C742FD69E8FDA4C4BBB23d1R3M" </w:instrText>
      </w:r>
      <w:r>
        <w:fldChar w:fldCharType="separate"/>
      </w:r>
      <w:r>
        <w:t>план</w:t>
      </w:r>
      <w:r>
        <w:fldChar w:fldCharType="end"/>
      </w:r>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r>
        <w:fldChar w:fldCharType="begin"/>
      </w:r>
      <w:r>
        <w:instrText xml:space="preserve"> HYPERLINK "https://cloud.consultant.ru/cloud/cgi/online.cgi?ref=9D8161AA42813FF2C5CEF20345109A18045E915A4D486592BF0D91A3DD55F1698951AD87C989255BD5FBE092C10199654393C4422B6702763792395C742FD69E8FDA4C4BBB23d1R3M" </w:instrText>
      </w:r>
      <w:r>
        <w:fldChar w:fldCharType="separate"/>
      </w:r>
      <w:r>
        <w:t>план</w:t>
      </w:r>
      <w:r>
        <w:fldChar w:fldCharType="end"/>
      </w:r>
      <w:r>
        <w:t xml:space="preserve"> счетов);</w:t>
      </w:r>
    </w:p>
    <w:p>
      <w:pPr>
        <w:numPr>
          <w:ilvl w:val="0"/>
          <w:numId w:val="3"/>
        </w:numPr>
        <w:spacing w:line="276" w:lineRule="auto"/>
        <w:ind w:left="480" w:leftChars="0" w:firstLineChars="0"/>
        <w:contextualSpacing/>
        <w:jc w:val="both"/>
      </w:pPr>
      <w:r>
        <w:fldChar w:fldCharType="begin"/>
      </w:r>
      <w:r>
        <w:instrText xml:space="preserve"> HYPERLINK "https://cloud.consultant.ru/cloud/cgi/online.cgi?ref=9D8161AA42813FF2C5CEF20345109A18045E915A4D486592BF0D91A3DD55F1698951AD87C989255BD5FBE092C10199654393C4422B6702763792395C742FD69D86DB4C4BBB23d1R3M" </w:instrText>
      </w:r>
      <w:r>
        <w:fldChar w:fldCharType="separate"/>
      </w:r>
      <w:r>
        <w:t>Инструкция</w:t>
      </w:r>
      <w:r>
        <w:fldChar w:fldCharType="end"/>
      </w:r>
      <w: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r>
        <w:fldChar w:fldCharType="begin"/>
      </w:r>
      <w:r>
        <w:instrText xml:space="preserve"> HYPERLINK "https://cloud.consultant.ru/cloud/cgi/online.cgi?ref=9D8161AA42813FF2C5CEF20345109A18045E915A4D486592BF0D91A3DD55F1698951AD87C989255BD5FBE092C10199654393C4422B6702763792395C742FD69D86DB4C4BBB23d1R3M" </w:instrText>
      </w:r>
      <w:r>
        <w:fldChar w:fldCharType="separate"/>
      </w:r>
      <w:r>
        <w:t>Инструкция</w:t>
      </w:r>
      <w:r>
        <w:fldChar w:fldCharType="end"/>
      </w:r>
      <w:r>
        <w:t xml:space="preserve"> № 157н);</w:t>
      </w:r>
    </w:p>
    <w:p>
      <w:pPr>
        <w:numPr>
          <w:ilvl w:val="0"/>
          <w:numId w:val="3"/>
        </w:numPr>
        <w:spacing w:line="276" w:lineRule="auto"/>
        <w:ind w:left="480" w:leftChars="0" w:firstLineChars="0"/>
        <w:contextualSpacing/>
        <w:jc w:val="both"/>
      </w:pPr>
      <w:r>
        <w:fldChar w:fldCharType="begin"/>
      </w:r>
      <w:r>
        <w:instrText xml:space="preserve"> HYPERLINK "https://cloud.consultant.ru/cloud/cgi/online.cgi?ref=9D8161AA42813FF2C5CEF20345109A18045E915A4D486592BF0D91A3DD55F1698951AD87C989255BD5FBE092C6039E654393C4422B6702763792395C742FD69E8FDE4C4BBB23d1R3M" </w:instrText>
      </w:r>
      <w:r>
        <w:fldChar w:fldCharType="separate"/>
      </w:r>
      <w:r>
        <w:t>План</w:t>
      </w:r>
      <w:r>
        <w:fldChar w:fldCharType="end"/>
      </w:r>
      <w:r>
        <w:t xml:space="preserve"> счетов бухгалтерского учета автономных учреждений, утвержденный Приказом Минфина России от 23.12.2010 № 183н (далее - </w:t>
      </w:r>
      <w:r>
        <w:fldChar w:fldCharType="begin"/>
      </w:r>
      <w:r>
        <w:instrText xml:space="preserve"> HYPERLINK "https://cloud.consultant.ru/cloud/cgi/online.cgi?ref=9D8161AA42813FF2C5CEF20345109A18045E915A4D486592BF0D91A3DD55F1698951AD87C989255BD5FBE092C6039E654393C4422B6702763792395C742FD69E8FDE4C4BBB23d1R3M" </w:instrText>
      </w:r>
      <w:r>
        <w:fldChar w:fldCharType="separate"/>
      </w:r>
      <w:r>
        <w:t>План</w:t>
      </w:r>
      <w:r>
        <w:fldChar w:fldCharType="end"/>
      </w:r>
      <w:r>
        <w:t xml:space="preserve"> счетов автономных учреждений);</w:t>
      </w:r>
    </w:p>
    <w:p>
      <w:pPr>
        <w:numPr>
          <w:ilvl w:val="0"/>
          <w:numId w:val="3"/>
        </w:numPr>
        <w:spacing w:line="276" w:lineRule="auto"/>
        <w:ind w:left="480" w:leftChars="0" w:firstLineChars="0"/>
        <w:contextualSpacing/>
        <w:jc w:val="both"/>
      </w:pPr>
      <w:r>
        <w:fldChar w:fldCharType="begin"/>
      </w:r>
      <w:r>
        <w:instrText xml:space="preserve"> HYPERLINK "https://cloud.consultant.ru/cloud/cgi/online.cgi?ref=9D8161AA42813FF2C5CEF20345109A18045E915A4D486592BF0D91A3DD55F1698951AD87C989255BD5FBE092C6039E654393C4422B6702763792395C742FD69986D84C4BBB23d1R3M" </w:instrText>
      </w:r>
      <w:r>
        <w:fldChar w:fldCharType="separate"/>
      </w:r>
      <w:r>
        <w:t>Инструкция</w:t>
      </w:r>
      <w:r>
        <w:fldChar w:fldCharType="end"/>
      </w:r>
      <w:r>
        <w:t xml:space="preserve"> по применению Плана счетов бухгалтерского учета автономных учреждений, утвержденная Приказом Минфина России от 23.12.2010 № 183н (далее - </w:t>
      </w:r>
      <w:r>
        <w:fldChar w:fldCharType="begin"/>
      </w:r>
      <w:r>
        <w:instrText xml:space="preserve"> HYPERLINK "https://cloud.consultant.ru/cloud/cgi/online.cgi?ref=9D8161AA42813FF2C5CEF20345109A18045E915A4D486592BF0D91A3DD55F1698951AD87C989255BD5FBE092C6039E654393C4422B6702763792395C742FD69986D84C4BBB23d1R3M" </w:instrText>
      </w:r>
      <w:r>
        <w:fldChar w:fldCharType="separate"/>
      </w:r>
      <w:r>
        <w:t>Инструкция</w:t>
      </w:r>
      <w:r>
        <w:fldChar w:fldCharType="end"/>
      </w:r>
      <w:r>
        <w:t xml:space="preserve"> № 183н);</w:t>
      </w:r>
    </w:p>
    <w:p>
      <w:pPr>
        <w:numPr>
          <w:ilvl w:val="0"/>
          <w:numId w:val="3"/>
        </w:numPr>
        <w:spacing w:line="276" w:lineRule="auto"/>
        <w:ind w:left="480" w:leftChars="0" w:firstLineChars="0"/>
        <w:contextualSpacing/>
        <w:jc w:val="both"/>
      </w:pPr>
      <w:r>
        <w:fldChar w:fldCharType="begin"/>
      </w:r>
      <w:r>
        <w:instrText xml:space="preserve"> HYPERLINK "https://cloud.consultant.ru/cloud/cgi/online.cgi?ref=9D8161AA42813FF2C5CEF20345109A18045E915A4D486592BF0D91A3DD55F1698951AD87C989255BD5FBE190C6009D654393C4422B6702763792395C742FD69E8EDC4717EA615CE677B5d6R0M" </w:instrText>
      </w:r>
      <w:r>
        <w:fldChar w:fldCharType="separate"/>
      </w:r>
      <w:r>
        <w:t>Приказ</w:t>
      </w:r>
      <w:r>
        <w:fldChar w:fldCharType="end"/>
      </w:r>
      <w: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r>
        <w:fldChar w:fldCharType="begin"/>
      </w:r>
      <w:r>
        <w:instrText xml:space="preserve"> HYPERLINK "https://cloud.consultant.ru/cloud/cgi/online.cgi?ref=9D8161AA42813FF2C5CEF20345109A18045E915A4D486592BF0D91A3DD55F1698951AD87C989255BD5FBE190C6009D654393C4422B6702763792395C742FD69E8EDC4717EA615CE677B5d6R0M" </w:instrText>
      </w:r>
      <w:r>
        <w:fldChar w:fldCharType="separate"/>
      </w:r>
      <w:r>
        <w:t>Приказ</w:t>
      </w:r>
      <w:r>
        <w:fldChar w:fldCharType="end"/>
      </w:r>
      <w:r>
        <w:t xml:space="preserve"> Минфина России № 52н);</w:t>
      </w:r>
    </w:p>
    <w:p>
      <w:pPr>
        <w:numPr>
          <w:ilvl w:val="0"/>
          <w:numId w:val="3"/>
        </w:numPr>
        <w:spacing w:line="276" w:lineRule="auto"/>
        <w:ind w:left="480" w:leftChars="0" w:firstLineChars="0"/>
        <w:contextualSpacing/>
        <w:jc w:val="both"/>
      </w:pPr>
      <w:r>
        <w:t xml:space="preserve">Методические </w:t>
      </w:r>
      <w:r>
        <w:fldChar w:fldCharType="begin"/>
      </w:r>
      <w:r>
        <w:instrText xml:space="preserve"> HYPERLINK "https://cloud.consultant.ru/cloud/cgi/online.cgi?ref=9D8161AA42813FF2C5CEF20345109A18045E915A4D486592BF0D91A3DD55F1698951AD87C989255BD5FBE190C6009D654393C4422B6702763792395C742FD39C8DD94C4BBB23d1R3M" </w:instrText>
      </w:r>
      <w:r>
        <w:fldChar w:fldCharType="separate"/>
      </w:r>
      <w:r>
        <w:t>указания</w:t>
      </w:r>
      <w:r>
        <w:fldChar w:fldCharType="end"/>
      </w:r>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r>
        <w:fldChar w:fldCharType="begin"/>
      </w:r>
      <w:r>
        <w:instrText xml:space="preserve"> HYPERLINK "https://cloud.consultant.ru/cloud/cgi/online.cgi?ref=9D8161AA42813FF2C5CEF20345109A18045E915A4D486592BF0D91A3DD55F1698951AD87C989255BD5FBE190C6009D654393C4422B6702763792395C742FD39C8DD94C4BBB23d1R3M" </w:instrText>
      </w:r>
      <w:r>
        <w:fldChar w:fldCharType="separate"/>
      </w:r>
      <w:r>
        <w:t>указания</w:t>
      </w:r>
      <w:r>
        <w:fldChar w:fldCharType="end"/>
      </w:r>
      <w:r>
        <w:t xml:space="preserve"> № 52н);</w:t>
      </w:r>
    </w:p>
    <w:p>
      <w:pPr>
        <w:numPr>
          <w:ilvl w:val="0"/>
          <w:numId w:val="3"/>
        </w:numPr>
        <w:spacing w:line="276" w:lineRule="auto"/>
        <w:ind w:left="480" w:leftChars="0" w:firstLineChars="0"/>
        <w:contextualSpacing/>
        <w:jc w:val="both"/>
      </w:pPr>
      <w:r>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
    <w:p>
      <w:pPr>
        <w:numPr>
          <w:ilvl w:val="0"/>
          <w:numId w:val="3"/>
        </w:numPr>
        <w:spacing w:line="276" w:lineRule="auto"/>
        <w:ind w:left="480" w:leftChars="0" w:firstLineChars="0"/>
        <w:contextualSpacing/>
        <w:jc w:val="both"/>
      </w:pPr>
      <w:r>
        <w:fldChar w:fldCharType="begin"/>
      </w:r>
      <w:r>
        <w:instrText xml:space="preserve"> HYPERLINK "https://cloud.consultant.ru/cloud/cgi/online.cgi?ref=9D8161AA42813FF2C5CEF20345109A18045E915A4D486592BF0D91A3DD55F1698951AD87C989255BD5FBEB97C0019A654393C4422B6702763792395C742FD69E8EDC4717EA615CE677B5d6R0M" </w:instrText>
      </w:r>
      <w:r>
        <w:fldChar w:fldCharType="separate"/>
      </w:r>
      <w:r>
        <w:t>Указание</w:t>
      </w:r>
      <w:r>
        <w:fldChar w:fldCharType="end"/>
      </w:r>
      <w: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r>
        <w:fldChar w:fldCharType="begin"/>
      </w:r>
      <w:r>
        <w:instrText xml:space="preserve"> HYPERLINK "https://cloud.consultant.ru/cloud/cgi/online.cgi?ref=9D8161AA42813FF2C5CEF20345109A18045E915A4D486592BF0D91A3DD55F1698951AD87C989255BD5FBEB97C0019A654393C4422B6702763792395C742FD69E8EDC4717EA615CE677B5d6R0M" </w:instrText>
      </w:r>
      <w:r>
        <w:fldChar w:fldCharType="separate"/>
      </w:r>
      <w:r>
        <w:t>Указание</w:t>
      </w:r>
      <w:r>
        <w:fldChar w:fldCharType="end"/>
      </w:r>
      <w:r>
        <w:t xml:space="preserve"> № 3210-У);</w:t>
      </w:r>
    </w:p>
    <w:p>
      <w:pPr>
        <w:numPr>
          <w:ilvl w:val="0"/>
          <w:numId w:val="3"/>
        </w:numPr>
        <w:spacing w:line="276" w:lineRule="auto"/>
        <w:ind w:left="480" w:leftChars="0" w:firstLineChars="0"/>
        <w:contextualSpacing/>
        <w:jc w:val="both"/>
      </w:pPr>
      <w:r>
        <w:t>Указание Банка России от 09.12.2019 № 5348-У "О правилах наличных расчетов" (далее - Указание № 5348-У);</w:t>
      </w:r>
    </w:p>
    <w:p>
      <w:pPr>
        <w:numPr>
          <w:ilvl w:val="0"/>
          <w:numId w:val="3"/>
        </w:numPr>
        <w:spacing w:line="276" w:lineRule="auto"/>
        <w:ind w:left="480" w:leftChars="0" w:firstLineChars="0"/>
        <w:contextualSpacing/>
        <w:jc w:val="both"/>
      </w:pPr>
      <w:r>
        <w:t xml:space="preserve">Методические </w:t>
      </w:r>
      <w:r>
        <w:fldChar w:fldCharType="begin"/>
      </w:r>
      <w:r>
        <w:instrText xml:space="preserve"> HYPERLINK "https://cloud.consultant.ru/cloud/cgi/online.cgi?ref=9D8161AA42813FF2C5CEF20345109A18045E915A4D486592BF0D91A3DD55F1698951AD87C989255BD5F8E992CB0298654393C4422B6702763792395C742FD69E8FDC4C4BBB23d1R3M" </w:instrText>
      </w:r>
      <w:r>
        <w:fldChar w:fldCharType="separate"/>
      </w:r>
      <w:r>
        <w:t>указания</w:t>
      </w:r>
      <w:r>
        <w:fldChar w:fldCharType="end"/>
      </w:r>
      <w:r>
        <w:t xml:space="preserve"> по инвентаризации имущества и финансовых обязательств, утвержденные Приказом Минфина России от 13.06.1995 № 49 (далее - Методические </w:t>
      </w:r>
      <w:r>
        <w:fldChar w:fldCharType="begin"/>
      </w:r>
      <w:r>
        <w:instrText xml:space="preserve"> HYPERLINK "https://cloud.consultant.ru/cloud/cgi/online.cgi?ref=9D8161AA42813FF2C5CEF20345109A18045E915A4D486592BF0D91A3DD55F1698951AD87C989255BD5F8E992CB0298654393C4422B6702763792395C742FD69E8FDC4C4BBB23d1R3M" </w:instrText>
      </w:r>
      <w:r>
        <w:fldChar w:fldCharType="separate"/>
      </w:r>
      <w:r>
        <w:t>указания</w:t>
      </w:r>
      <w:r>
        <w:fldChar w:fldCharType="end"/>
      </w:r>
      <w:r>
        <w:t xml:space="preserve"> № 49);</w:t>
      </w:r>
    </w:p>
    <w:p>
      <w:pPr>
        <w:numPr>
          <w:ilvl w:val="0"/>
          <w:numId w:val="3"/>
        </w:numPr>
        <w:spacing w:line="276" w:lineRule="auto"/>
        <w:ind w:left="480" w:leftChars="0" w:firstLineChars="0"/>
        <w:contextualSpacing/>
        <w:jc w:val="both"/>
      </w:pPr>
      <w:r>
        <w:t xml:space="preserve">Методические </w:t>
      </w:r>
      <w:r>
        <w:fldChar w:fldCharType="begin"/>
      </w:r>
      <w:r>
        <w:instrText xml:space="preserve"> HYPERLINK "https://cloud.consultant.ru/cloud/cgi/online.cgi?ref=9D8161AA42813FF2C5CEF20345109A18045E915A4D486592BF0D91A3DD55F1698951AD87C989255BD5FAE996C10499654393C4422B6702763792395C742FD69E8ED44C4BBB23d1R3M" </w:instrText>
      </w:r>
      <w:r>
        <w:fldChar w:fldCharType="separate"/>
      </w:r>
      <w:r>
        <w:t>рекомендации</w:t>
      </w:r>
      <w:r>
        <w:fldChar w:fldCharType="end"/>
      </w:r>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r>
        <w:fldChar w:fldCharType="begin"/>
      </w:r>
      <w:r>
        <w:instrText xml:space="preserve"> HYPERLINK "https://cloud.consultant.ru/cloud/cgi/online.cgi?ref=9D8161AA42813FF2C5CEF20345109A18045E915A4D486592BF0D91A3DD55F1698951AD87C989255BD5FAE996C10499654393C4422B6702763792395C742FD69E8ED44C4BBB23d1R3M" </w:instrText>
      </w:r>
      <w:r>
        <w:fldChar w:fldCharType="separate"/>
      </w:r>
      <w:r>
        <w:t>рекомендации</w:t>
      </w:r>
      <w:r>
        <w:fldChar w:fldCharType="end"/>
      </w:r>
      <w:r>
        <w:t xml:space="preserve"> № АМ-23-р);</w:t>
      </w:r>
    </w:p>
    <w:p>
      <w:pPr>
        <w:numPr>
          <w:ilvl w:val="0"/>
          <w:numId w:val="3"/>
        </w:numPr>
        <w:spacing w:line="276" w:lineRule="auto"/>
        <w:ind w:left="480" w:leftChars="0" w:firstLineChars="0"/>
        <w:contextualSpacing/>
        <w:jc w:val="both"/>
      </w:pPr>
      <w:r>
        <w:fldChar w:fldCharType="begin"/>
      </w:r>
      <w:r>
        <w:instrText xml:space="preserve"> HYPERLINK "https://cloud.consultant.ru/cloud/cgi/online.cgi?ref=9D8161AA42813FF2C5CEF20345109A18045E915A4D486592BF0D91A3DD55F1698951AD87C989255BD5FBE091C4059F654393C4422B6702763792395C742FD69E8FDE4C4BBB23d1R3M" </w:instrText>
      </w:r>
      <w:r>
        <w:fldChar w:fldCharType="separate"/>
      </w:r>
      <w:r>
        <w:t>Инструкция</w:t>
      </w:r>
      <w:r>
        <w:fldChar w:fldCharType="end"/>
      </w:r>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r>
        <w:fldChar w:fldCharType="begin"/>
      </w:r>
      <w:r>
        <w:instrText xml:space="preserve"> HYPERLINK "https://cloud.consultant.ru/cloud/cgi/online.cgi?ref=9D8161AA42813FF2C5CEF20345109A18045E915A4D486592BF0D91A3DD55F1698951AD87C989255BD5FBE091C4059F654393C4422B6702763792395C742FD69E8FDE4C4BBB23d1R3M" </w:instrText>
      </w:r>
      <w:r>
        <w:fldChar w:fldCharType="separate"/>
      </w:r>
      <w:r>
        <w:t>Инструкция</w:t>
      </w:r>
      <w:r>
        <w:fldChar w:fldCharType="end"/>
      </w:r>
      <w:r>
        <w:t xml:space="preserve"> № 33н);</w:t>
      </w:r>
    </w:p>
    <w:p>
      <w:pPr>
        <w:numPr>
          <w:ilvl w:val="0"/>
          <w:numId w:val="3"/>
        </w:numPr>
        <w:spacing w:line="276" w:lineRule="auto"/>
        <w:ind w:left="480" w:leftChars="0" w:firstLineChars="0"/>
        <w:contextualSpacing/>
        <w:jc w:val="both"/>
      </w:pPr>
      <w:r>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pPr>
        <w:numPr>
          <w:ilvl w:val="0"/>
          <w:numId w:val="3"/>
        </w:numPr>
        <w:spacing w:line="276" w:lineRule="auto"/>
        <w:ind w:left="480" w:leftChars="0" w:firstLineChars="0"/>
        <w:contextualSpacing/>
        <w:jc w:val="both"/>
      </w:pPr>
      <w:r>
        <w:fldChar w:fldCharType="begin"/>
      </w:r>
      <w:r>
        <w:instrText xml:space="preserve"> HYPERLINK "https://cloud.consultant.ru/cloud/cgi/online.cgi?ref=9D8161AA42813FF2C5CEF20345109A18045E915A4D486592BF0D91A3DD55F1698951AD87C989255BD5FBE191CB009D654393C4422B6702763792395C742FD69E8FDD4C4BBB23d1R3M" </w:instrText>
      </w:r>
      <w:r>
        <w:fldChar w:fldCharType="separate"/>
      </w:r>
      <w:r>
        <w:t>Порядок</w:t>
      </w:r>
      <w:r>
        <w:fldChar w:fldCharType="end"/>
      </w:r>
      <w:r>
        <w:t xml:space="preserve"> применения классификации операций сектора государственного управления, утвержденный Приказом Минфина России от 29.11.2017 № 209н (далее - </w:t>
      </w:r>
      <w:r>
        <w:fldChar w:fldCharType="begin"/>
      </w:r>
      <w:r>
        <w:instrText xml:space="preserve"> HYPERLINK "https://cloud.consultant.ru/cloud/cgi/online.cgi?ref=9D8161AA42813FF2C5CEF20345109A18045E915A4D486592BF0D91A3DD55F1698951AD87C989255BD5FBE191CB009D654393C4422B6702763792395C742FD69E8FDD4C4BBB23d1R3M" </w:instrText>
      </w:r>
      <w:r>
        <w:fldChar w:fldCharType="separate"/>
      </w:r>
      <w:r>
        <w:t>Порядок</w:t>
      </w:r>
      <w:r>
        <w:fldChar w:fldCharType="end"/>
      </w:r>
      <w:r>
        <w:t xml:space="preserve"> применения КОСГУ, </w:t>
      </w:r>
      <w:r>
        <w:fldChar w:fldCharType="begin"/>
      </w:r>
      <w:r>
        <w:instrText xml:space="preserve"> HYPERLINK "https://cloud.consultant.ru/cloud/cgi/online.cgi?ref=9D8161AA42813FF2C5CEF20345109A18045E915A4D486592BF0D91A3DD55F1698951AD87C989255BD5FBE191CB009D654393C4422B6702763792395C742FD69E8FDD4C4BBB23d1R3M" </w:instrText>
      </w:r>
      <w:r>
        <w:fldChar w:fldCharType="separate"/>
      </w:r>
      <w:r>
        <w:t>Порядок</w:t>
      </w:r>
      <w:r>
        <w:fldChar w:fldCharType="end"/>
      </w:r>
      <w:r>
        <w:t xml:space="preserve"> № 209н);</w:t>
      </w:r>
    </w:p>
    <w:p>
      <w:pPr>
        <w:numPr>
          <w:ilvl w:val="0"/>
          <w:numId w:val="3"/>
        </w:numPr>
        <w:spacing w:line="276" w:lineRule="auto"/>
        <w:ind w:left="480" w:leftChars="0" w:firstLineChars="0"/>
        <w:contextualSpacing/>
        <w:jc w:val="both"/>
      </w:pPr>
      <w:r>
        <w:t>Учетная политика органа, осуществляющего полномочия и функции учредителя</w:t>
      </w:r>
      <w:r>
        <w:rPr>
          <w:rFonts w:hint="default"/>
          <w:lang w:val="ru-RU"/>
        </w:rPr>
        <w:t xml:space="preserve"> </w:t>
      </w:r>
      <w:r>
        <w:t>(Департамент образования города Нижневартовска)</w:t>
      </w:r>
      <w:r>
        <w:rPr>
          <w:rFonts w:hint="default"/>
          <w:lang w:val="ru-RU"/>
        </w:rPr>
        <w:t>.</w:t>
      </w:r>
    </w:p>
    <w:p>
      <w:pPr>
        <w:spacing w:line="276" w:lineRule="auto"/>
        <w:ind w:firstLine="567"/>
        <w:contextualSpacing/>
        <w:jc w:val="both"/>
      </w:pPr>
      <w:r>
        <w:t xml:space="preserve">1.2. Бухгалтерский учет в учреждении ведется бухгалтерией, возглавляемой главным бухгалтером. </w:t>
      </w:r>
    </w:p>
    <w:p>
      <w:pPr>
        <w:spacing w:line="276" w:lineRule="auto"/>
        <w:ind w:firstLine="567"/>
        <w:contextualSpacing/>
        <w:jc w:val="both"/>
      </w:pPr>
      <w:r>
        <w:tab/>
      </w:r>
      <w:r>
        <w:t xml:space="preserve">Ответственным за ведение бухгалтерского учета в учреждении является главный бухгалтер. </w:t>
      </w:r>
    </w:p>
    <w:p>
      <w:pPr>
        <w:spacing w:line="276" w:lineRule="auto"/>
        <w:ind w:firstLine="567"/>
        <w:jc w:val="both"/>
      </w:pPr>
      <w:r>
        <w:t xml:space="preserve">1.3. Учет ведется в электронном виде, используя программу автоматизации бухгалтерского учета«1С: Предприятие 8.3 «Бухгалтерия государственного учреждения» (далее - 1С БГУ), </w:t>
      </w:r>
      <w:r>
        <w:rPr>
          <w:highlight w:val="none"/>
        </w:rPr>
        <w:t xml:space="preserve">для расчета заработной платы </w:t>
      </w:r>
      <w:r>
        <w:t>«1С: Предприятие – Камин расчет заработной платы.» (далее – 1С Камин).</w:t>
      </w:r>
    </w:p>
    <w:p>
      <w:pPr>
        <w:autoSpaceDE w:val="0"/>
        <w:autoSpaceDN w:val="0"/>
        <w:adjustRightInd w:val="0"/>
        <w:spacing w:line="276" w:lineRule="auto"/>
        <w:ind w:firstLine="567"/>
        <w:jc w:val="both"/>
        <w:outlineLvl w:val="0"/>
      </w:pPr>
      <w:r>
        <w:t>1.4. Рабочий план счетов формируется в составе кодов счетов учета и правил формирования номеров счетов учета.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Структура рабочего плана счета:</w:t>
      </w:r>
    </w:p>
    <w:tbl>
      <w:tblPr>
        <w:tblStyle w:val="12"/>
        <w:tblW w:w="10260" w:type="dxa"/>
        <w:tblInd w:w="5" w:type="dxa"/>
        <w:tblLayout w:type="fixed"/>
        <w:tblCellMar>
          <w:top w:w="0" w:type="dxa"/>
          <w:left w:w="0" w:type="dxa"/>
          <w:bottom w:w="0" w:type="dxa"/>
          <w:right w:w="0" w:type="dxa"/>
        </w:tblCellMar>
      </w:tblPr>
      <w:tblGrid>
        <w:gridCol w:w="3828"/>
        <w:gridCol w:w="1932"/>
        <w:gridCol w:w="770"/>
        <w:gridCol w:w="425"/>
        <w:gridCol w:w="426"/>
        <w:gridCol w:w="380"/>
        <w:gridCol w:w="36"/>
        <w:gridCol w:w="397"/>
        <w:gridCol w:w="28"/>
        <w:gridCol w:w="369"/>
        <w:gridCol w:w="481"/>
        <w:gridCol w:w="415"/>
        <w:gridCol w:w="773"/>
      </w:tblGrid>
      <w:tr>
        <w:tblPrEx>
          <w:tblCellMar>
            <w:top w:w="0" w:type="dxa"/>
            <w:left w:w="0" w:type="dxa"/>
            <w:bottom w:w="0" w:type="dxa"/>
            <w:right w:w="0" w:type="dxa"/>
          </w:tblCellMar>
        </w:tblPrEx>
        <w:trPr>
          <w:cantSplit/>
          <w:trHeight w:val="270" w:hRule="atLeast"/>
          <w:tblHeader/>
        </w:trPr>
        <w:tc>
          <w:tcPr>
            <w:tcW w:w="3828" w:type="dxa"/>
            <w:vMerge w:val="restart"/>
            <w:tcBorders>
              <w:top w:val="single" w:color="auto" w:sz="4" w:space="0"/>
              <w:left w:val="single" w:color="auto" w:sz="4" w:space="0"/>
              <w:right w:val="single" w:color="auto" w:sz="4" w:space="0"/>
            </w:tcBorders>
            <w:vAlign w:val="center"/>
          </w:tcPr>
          <w:p>
            <w:pPr>
              <w:jc w:val="center"/>
              <w:rPr>
                <w:i/>
                <w:iCs/>
                <w:sz w:val="20"/>
                <w:szCs w:val="20"/>
              </w:rPr>
            </w:pPr>
            <w:r>
              <w:rPr>
                <w:i/>
                <w:iCs/>
                <w:sz w:val="20"/>
                <w:szCs w:val="20"/>
              </w:rPr>
              <w:t> </w:t>
            </w:r>
          </w:p>
          <w:p>
            <w:pPr>
              <w:jc w:val="center"/>
              <w:rPr>
                <w:i/>
                <w:iCs/>
                <w:sz w:val="20"/>
                <w:szCs w:val="20"/>
              </w:rPr>
            </w:pPr>
            <w:r>
              <w:rPr>
                <w:i/>
                <w:iCs/>
                <w:sz w:val="20"/>
                <w:szCs w:val="20"/>
              </w:rPr>
              <w:t> </w:t>
            </w:r>
          </w:p>
          <w:p>
            <w:pPr>
              <w:jc w:val="center"/>
              <w:rPr>
                <w:b/>
                <w:bCs/>
                <w:sz w:val="20"/>
                <w:szCs w:val="20"/>
              </w:rPr>
            </w:pPr>
            <w:r>
              <w:rPr>
                <w:b/>
                <w:bCs/>
                <w:sz w:val="20"/>
                <w:szCs w:val="20"/>
              </w:rPr>
              <w:t> </w:t>
            </w:r>
          </w:p>
          <w:p>
            <w:pPr>
              <w:jc w:val="center"/>
              <w:rPr>
                <w:b/>
                <w:iCs/>
                <w:sz w:val="20"/>
                <w:szCs w:val="20"/>
              </w:rPr>
            </w:pPr>
            <w:r>
              <w:rPr>
                <w:b/>
                <w:iCs/>
                <w:sz w:val="20"/>
                <w:szCs w:val="20"/>
              </w:rPr>
              <w:t>Наименование счета</w:t>
            </w:r>
          </w:p>
          <w:p>
            <w:pPr>
              <w:rPr>
                <w:i/>
                <w:iCs/>
                <w:sz w:val="20"/>
                <w:szCs w:val="20"/>
              </w:rPr>
            </w:pPr>
            <w:r>
              <w:rPr>
                <w:b/>
                <w:bCs/>
                <w:sz w:val="20"/>
                <w:szCs w:val="20"/>
              </w:rPr>
              <w:t> </w:t>
            </w:r>
          </w:p>
        </w:tc>
        <w:tc>
          <w:tcPr>
            <w:tcW w:w="6432" w:type="dxa"/>
            <w:gridSpan w:val="12"/>
            <w:tcBorders>
              <w:top w:val="single" w:color="auto" w:sz="4" w:space="0"/>
              <w:left w:val="nil"/>
              <w:bottom w:val="single" w:color="auto" w:sz="4" w:space="0"/>
              <w:right w:val="single" w:color="auto" w:sz="4" w:space="0"/>
            </w:tcBorders>
            <w:vAlign w:val="center"/>
          </w:tcPr>
          <w:p>
            <w:pPr>
              <w:jc w:val="center"/>
              <w:rPr>
                <w:iCs/>
                <w:sz w:val="20"/>
                <w:szCs w:val="20"/>
              </w:rPr>
            </w:pPr>
            <w:r>
              <w:rPr>
                <w:iCs/>
                <w:sz w:val="20"/>
                <w:szCs w:val="20"/>
              </w:rPr>
              <w:t>Номер счета учета</w:t>
            </w:r>
          </w:p>
        </w:tc>
      </w:tr>
      <w:tr>
        <w:trPr>
          <w:cantSplit/>
          <w:trHeight w:val="195" w:hRule="atLeast"/>
          <w:tblHeader/>
        </w:trPr>
        <w:tc>
          <w:tcPr>
            <w:tcW w:w="3828" w:type="dxa"/>
            <w:vMerge w:val="continue"/>
            <w:tcBorders>
              <w:left w:val="single" w:color="auto" w:sz="4" w:space="0"/>
              <w:right w:val="single" w:color="auto" w:sz="4" w:space="0"/>
            </w:tcBorders>
            <w:vAlign w:val="center"/>
          </w:tcPr>
          <w:p>
            <w:pPr>
              <w:rPr>
                <w:i/>
                <w:iCs/>
                <w:sz w:val="20"/>
                <w:szCs w:val="20"/>
              </w:rPr>
            </w:pPr>
          </w:p>
        </w:tc>
        <w:tc>
          <w:tcPr>
            <w:tcW w:w="6432" w:type="dxa"/>
            <w:gridSpan w:val="12"/>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код</w:t>
            </w:r>
          </w:p>
        </w:tc>
      </w:tr>
      <w:tr>
        <w:tblPrEx>
          <w:tblCellMar>
            <w:top w:w="0" w:type="dxa"/>
            <w:left w:w="0" w:type="dxa"/>
            <w:bottom w:w="0" w:type="dxa"/>
            <w:right w:w="0" w:type="dxa"/>
          </w:tblCellMar>
        </w:tblPrEx>
        <w:trPr>
          <w:cantSplit/>
          <w:trHeight w:val="244" w:hRule="atLeast"/>
          <w:tblHeader/>
        </w:trPr>
        <w:tc>
          <w:tcPr>
            <w:tcW w:w="3828" w:type="dxa"/>
            <w:vMerge w:val="continue"/>
            <w:tcBorders>
              <w:left w:val="single" w:color="auto" w:sz="4" w:space="0"/>
              <w:right w:val="single" w:color="auto" w:sz="4" w:space="0"/>
            </w:tcBorders>
            <w:vAlign w:val="center"/>
          </w:tcPr>
          <w:p>
            <w:pPr>
              <w:rPr>
                <w:b/>
                <w:bCs/>
                <w:sz w:val="20"/>
                <w:szCs w:val="20"/>
              </w:rPr>
            </w:pPr>
          </w:p>
        </w:tc>
        <w:tc>
          <w:tcPr>
            <w:tcW w:w="1932" w:type="dxa"/>
            <w:vMerge w:val="restart"/>
            <w:tcBorders>
              <w:top w:val="nil"/>
              <w:left w:val="nil"/>
              <w:right w:val="single" w:color="auto" w:sz="4" w:space="0"/>
            </w:tcBorders>
            <w:vAlign w:val="center"/>
          </w:tcPr>
          <w:p>
            <w:pPr>
              <w:jc w:val="center"/>
              <w:rPr>
                <w:sz w:val="20"/>
                <w:szCs w:val="20"/>
              </w:rPr>
            </w:pPr>
            <w:r>
              <w:rPr>
                <w:sz w:val="20"/>
                <w:szCs w:val="20"/>
              </w:rPr>
              <w:t>аналитический по БК</w:t>
            </w:r>
          </w:p>
        </w:tc>
        <w:tc>
          <w:tcPr>
            <w:tcW w:w="770" w:type="dxa"/>
            <w:vMerge w:val="restart"/>
            <w:tcBorders>
              <w:top w:val="single" w:color="auto" w:sz="4" w:space="0"/>
              <w:left w:val="nil"/>
              <w:right w:val="single" w:color="auto" w:sz="4" w:space="0"/>
            </w:tcBorders>
          </w:tcPr>
          <w:p>
            <w:pPr>
              <w:spacing w:line="240" w:lineRule="atLeast"/>
              <w:jc w:val="center"/>
              <w:rPr>
                <w:sz w:val="20"/>
                <w:szCs w:val="20"/>
              </w:rPr>
            </w:pPr>
          </w:p>
          <w:p>
            <w:pPr>
              <w:spacing w:line="240" w:lineRule="atLeast"/>
              <w:jc w:val="center"/>
              <w:rPr>
                <w:sz w:val="20"/>
                <w:szCs w:val="20"/>
              </w:rPr>
            </w:pPr>
            <w:r>
              <w:rPr>
                <w:sz w:val="20"/>
                <w:szCs w:val="20"/>
              </w:rPr>
              <w:t>вида финансового обеспечения</w:t>
            </w:r>
          </w:p>
        </w:tc>
        <w:tc>
          <w:tcPr>
            <w:tcW w:w="2061" w:type="dxa"/>
            <w:gridSpan w:val="7"/>
            <w:vMerge w:val="restart"/>
            <w:tcBorders>
              <w:top w:val="nil"/>
              <w:left w:val="nil"/>
              <w:right w:val="single" w:color="auto" w:sz="4" w:space="0"/>
            </w:tcBorders>
            <w:vAlign w:val="center"/>
          </w:tcPr>
          <w:p>
            <w:pPr>
              <w:jc w:val="center"/>
              <w:rPr>
                <w:sz w:val="20"/>
                <w:szCs w:val="20"/>
              </w:rPr>
            </w:pPr>
            <w:r>
              <w:rPr>
                <w:color w:val="000000"/>
                <w:sz w:val="20"/>
                <w:szCs w:val="20"/>
              </w:rPr>
              <w:t xml:space="preserve">счета объекта учета </w:t>
            </w:r>
          </w:p>
        </w:tc>
        <w:tc>
          <w:tcPr>
            <w:tcW w:w="1669" w:type="dxa"/>
            <w:gridSpan w:val="3"/>
            <w:tcBorders>
              <w:top w:val="single" w:color="auto" w:sz="4" w:space="0"/>
              <w:left w:val="single" w:color="auto" w:sz="4" w:space="0"/>
              <w:bottom w:val="nil"/>
              <w:right w:val="single" w:color="auto" w:sz="4" w:space="0"/>
            </w:tcBorders>
            <w:vAlign w:val="center"/>
          </w:tcPr>
          <w:p>
            <w:pPr>
              <w:jc w:val="center"/>
              <w:rPr>
                <w:sz w:val="20"/>
                <w:szCs w:val="20"/>
              </w:rPr>
            </w:pPr>
          </w:p>
        </w:tc>
      </w:tr>
      <w:tr>
        <w:trPr>
          <w:cantSplit/>
          <w:trHeight w:val="138" w:hRule="atLeast"/>
          <w:tblHeader/>
        </w:trPr>
        <w:tc>
          <w:tcPr>
            <w:tcW w:w="3828" w:type="dxa"/>
            <w:vMerge w:val="continue"/>
            <w:tcBorders>
              <w:left w:val="single" w:color="auto" w:sz="4" w:space="0"/>
              <w:right w:val="single" w:color="auto" w:sz="4" w:space="0"/>
            </w:tcBorders>
            <w:vAlign w:val="center"/>
          </w:tcPr>
          <w:p>
            <w:pPr>
              <w:rPr>
                <w:b/>
                <w:iCs/>
                <w:sz w:val="20"/>
                <w:szCs w:val="20"/>
              </w:rPr>
            </w:pPr>
          </w:p>
        </w:tc>
        <w:tc>
          <w:tcPr>
            <w:tcW w:w="1932" w:type="dxa"/>
            <w:vMerge w:val="continue"/>
            <w:tcBorders>
              <w:left w:val="nil"/>
              <w:right w:val="single" w:color="auto" w:sz="4" w:space="0"/>
            </w:tcBorders>
            <w:vAlign w:val="center"/>
          </w:tcPr>
          <w:p>
            <w:pPr>
              <w:jc w:val="center"/>
              <w:rPr>
                <w:sz w:val="20"/>
                <w:szCs w:val="20"/>
              </w:rPr>
            </w:pPr>
          </w:p>
        </w:tc>
        <w:tc>
          <w:tcPr>
            <w:tcW w:w="770" w:type="dxa"/>
            <w:vMerge w:val="continue"/>
            <w:tcBorders>
              <w:left w:val="nil"/>
              <w:right w:val="single" w:color="auto" w:sz="4" w:space="0"/>
            </w:tcBorders>
            <w:vAlign w:val="center"/>
          </w:tcPr>
          <w:p>
            <w:pPr>
              <w:jc w:val="center"/>
              <w:rPr>
                <w:sz w:val="20"/>
                <w:szCs w:val="20"/>
              </w:rPr>
            </w:pPr>
          </w:p>
        </w:tc>
        <w:tc>
          <w:tcPr>
            <w:tcW w:w="2061" w:type="dxa"/>
            <w:gridSpan w:val="7"/>
            <w:vMerge w:val="continue"/>
            <w:tcBorders>
              <w:top w:val="single" w:color="auto" w:sz="4" w:space="0"/>
              <w:left w:val="nil"/>
              <w:right w:val="single" w:color="auto" w:sz="4" w:space="0"/>
            </w:tcBorders>
            <w:vAlign w:val="center"/>
          </w:tcPr>
          <w:p>
            <w:pPr>
              <w:jc w:val="center"/>
              <w:rPr>
                <w:sz w:val="20"/>
                <w:szCs w:val="20"/>
              </w:rPr>
            </w:pPr>
          </w:p>
        </w:tc>
        <w:tc>
          <w:tcPr>
            <w:tcW w:w="1669" w:type="dxa"/>
            <w:gridSpan w:val="3"/>
            <w:tcBorders>
              <w:top w:val="nil"/>
              <w:left w:val="single" w:color="auto" w:sz="4" w:space="0"/>
              <w:bottom w:val="nil"/>
              <w:right w:val="single" w:color="auto" w:sz="4" w:space="0"/>
            </w:tcBorders>
            <w:vAlign w:val="center"/>
          </w:tcPr>
          <w:p>
            <w:pPr>
              <w:jc w:val="center"/>
              <w:rPr>
                <w:sz w:val="20"/>
                <w:szCs w:val="20"/>
              </w:rPr>
            </w:pPr>
            <w:r>
              <w:rPr>
                <w:sz w:val="20"/>
                <w:szCs w:val="20"/>
              </w:rPr>
              <w:t xml:space="preserve">аналитический </w:t>
            </w:r>
          </w:p>
        </w:tc>
      </w:tr>
      <w:tr>
        <w:tblPrEx>
          <w:tblCellMar>
            <w:top w:w="0" w:type="dxa"/>
            <w:left w:w="0" w:type="dxa"/>
            <w:bottom w:w="0" w:type="dxa"/>
            <w:right w:w="0" w:type="dxa"/>
          </w:tblCellMar>
        </w:tblPrEx>
        <w:trPr>
          <w:cantSplit/>
          <w:trHeight w:val="244" w:hRule="atLeast"/>
          <w:tblHeader/>
        </w:trPr>
        <w:tc>
          <w:tcPr>
            <w:tcW w:w="3828" w:type="dxa"/>
            <w:vMerge w:val="continue"/>
            <w:tcBorders>
              <w:left w:val="single" w:color="auto" w:sz="4" w:space="0"/>
              <w:right w:val="single" w:color="auto" w:sz="4" w:space="0"/>
            </w:tcBorders>
            <w:vAlign w:val="center"/>
          </w:tcPr>
          <w:p>
            <w:pPr>
              <w:rPr>
                <w:rFonts w:eastAsia="Arial Unicode MS"/>
                <w:b/>
                <w:bCs/>
                <w:i/>
                <w:iCs/>
                <w:sz w:val="20"/>
                <w:szCs w:val="20"/>
              </w:rPr>
            </w:pPr>
          </w:p>
        </w:tc>
        <w:tc>
          <w:tcPr>
            <w:tcW w:w="1932" w:type="dxa"/>
            <w:vMerge w:val="continue"/>
            <w:tcBorders>
              <w:left w:val="nil"/>
              <w:right w:val="single" w:color="auto" w:sz="4" w:space="0"/>
            </w:tcBorders>
            <w:vAlign w:val="center"/>
          </w:tcPr>
          <w:p>
            <w:pPr>
              <w:jc w:val="center"/>
              <w:rPr>
                <w:sz w:val="20"/>
                <w:szCs w:val="20"/>
              </w:rPr>
            </w:pPr>
          </w:p>
        </w:tc>
        <w:tc>
          <w:tcPr>
            <w:tcW w:w="770" w:type="dxa"/>
            <w:vMerge w:val="continue"/>
            <w:tcBorders>
              <w:left w:val="nil"/>
              <w:right w:val="single" w:color="auto" w:sz="4" w:space="0"/>
            </w:tcBorders>
            <w:vAlign w:val="center"/>
          </w:tcPr>
          <w:p>
            <w:pPr>
              <w:jc w:val="center"/>
              <w:rPr>
                <w:sz w:val="20"/>
                <w:szCs w:val="20"/>
              </w:rPr>
            </w:pPr>
          </w:p>
        </w:tc>
        <w:tc>
          <w:tcPr>
            <w:tcW w:w="1267" w:type="dxa"/>
            <w:gridSpan w:val="4"/>
            <w:vMerge w:val="restart"/>
            <w:tcBorders>
              <w:top w:val="single" w:color="auto" w:sz="4" w:space="0"/>
              <w:left w:val="nil"/>
              <w:right w:val="single" w:color="auto" w:sz="4" w:space="0"/>
            </w:tcBorders>
            <w:vAlign w:val="center"/>
          </w:tcPr>
          <w:p>
            <w:pPr>
              <w:jc w:val="center"/>
              <w:rPr>
                <w:sz w:val="20"/>
                <w:szCs w:val="20"/>
              </w:rPr>
            </w:pPr>
            <w:r>
              <w:rPr>
                <w:sz w:val="20"/>
                <w:szCs w:val="20"/>
              </w:rPr>
              <w:t>Код синтетического счета</w:t>
            </w:r>
          </w:p>
        </w:tc>
        <w:tc>
          <w:tcPr>
            <w:tcW w:w="794" w:type="dxa"/>
            <w:gridSpan w:val="3"/>
            <w:vMerge w:val="restart"/>
            <w:tcBorders>
              <w:top w:val="single" w:color="auto" w:sz="4" w:space="0"/>
              <w:left w:val="nil"/>
              <w:right w:val="single" w:color="auto" w:sz="4" w:space="0"/>
            </w:tcBorders>
            <w:vAlign w:val="center"/>
          </w:tcPr>
          <w:p>
            <w:pPr>
              <w:jc w:val="center"/>
              <w:rPr>
                <w:sz w:val="16"/>
                <w:szCs w:val="16"/>
              </w:rPr>
            </w:pPr>
            <w:r>
              <w:rPr>
                <w:sz w:val="16"/>
                <w:szCs w:val="16"/>
              </w:rPr>
              <w:t>Код аналитеческого счета</w:t>
            </w:r>
          </w:p>
        </w:tc>
        <w:tc>
          <w:tcPr>
            <w:tcW w:w="1669" w:type="dxa"/>
            <w:gridSpan w:val="3"/>
            <w:tcBorders>
              <w:top w:val="nil"/>
              <w:left w:val="single" w:color="auto" w:sz="4" w:space="0"/>
              <w:bottom w:val="nil"/>
              <w:right w:val="single" w:color="auto" w:sz="4" w:space="0"/>
            </w:tcBorders>
            <w:vAlign w:val="center"/>
          </w:tcPr>
          <w:p>
            <w:pPr>
              <w:jc w:val="center"/>
              <w:rPr>
                <w:sz w:val="20"/>
                <w:szCs w:val="20"/>
              </w:rPr>
            </w:pPr>
            <w:r>
              <w:rPr>
                <w:sz w:val="20"/>
                <w:szCs w:val="20"/>
              </w:rPr>
              <w:t>по КОСГУ</w:t>
            </w:r>
          </w:p>
        </w:tc>
      </w:tr>
      <w:tr>
        <w:trPr>
          <w:cantSplit/>
          <w:trHeight w:val="380" w:hRule="atLeast"/>
          <w:tblHeader/>
        </w:trPr>
        <w:tc>
          <w:tcPr>
            <w:tcW w:w="3828" w:type="dxa"/>
            <w:vMerge w:val="continue"/>
            <w:tcBorders>
              <w:left w:val="single" w:color="auto" w:sz="4" w:space="0"/>
              <w:bottom w:val="single" w:color="auto" w:sz="4" w:space="0"/>
              <w:right w:val="single" w:color="auto" w:sz="4" w:space="0"/>
            </w:tcBorders>
            <w:vAlign w:val="center"/>
          </w:tcPr>
          <w:p>
            <w:pPr>
              <w:rPr>
                <w:b/>
                <w:bCs/>
                <w:sz w:val="20"/>
                <w:szCs w:val="20"/>
              </w:rPr>
            </w:pPr>
          </w:p>
        </w:tc>
        <w:tc>
          <w:tcPr>
            <w:tcW w:w="1932" w:type="dxa"/>
            <w:vMerge w:val="continue"/>
            <w:tcBorders>
              <w:left w:val="nil"/>
              <w:bottom w:val="single" w:color="auto" w:sz="4" w:space="0"/>
              <w:right w:val="single" w:color="auto" w:sz="4" w:space="0"/>
            </w:tcBorders>
            <w:vAlign w:val="center"/>
          </w:tcPr>
          <w:p>
            <w:pPr>
              <w:jc w:val="center"/>
              <w:rPr>
                <w:sz w:val="20"/>
                <w:szCs w:val="20"/>
              </w:rPr>
            </w:pPr>
          </w:p>
        </w:tc>
        <w:tc>
          <w:tcPr>
            <w:tcW w:w="770" w:type="dxa"/>
            <w:vMerge w:val="continue"/>
            <w:tcBorders>
              <w:left w:val="nil"/>
              <w:bottom w:val="single" w:color="auto" w:sz="4" w:space="0"/>
              <w:right w:val="single" w:color="auto" w:sz="4" w:space="0"/>
            </w:tcBorders>
            <w:vAlign w:val="center"/>
          </w:tcPr>
          <w:p>
            <w:pPr>
              <w:jc w:val="center"/>
              <w:rPr>
                <w:sz w:val="20"/>
                <w:szCs w:val="20"/>
              </w:rPr>
            </w:pPr>
          </w:p>
        </w:tc>
        <w:tc>
          <w:tcPr>
            <w:tcW w:w="1267" w:type="dxa"/>
            <w:gridSpan w:val="4"/>
            <w:vMerge w:val="continue"/>
            <w:tcBorders>
              <w:left w:val="nil"/>
              <w:bottom w:val="single" w:color="auto" w:sz="4" w:space="0"/>
              <w:right w:val="single" w:color="auto" w:sz="4" w:space="0"/>
            </w:tcBorders>
            <w:vAlign w:val="center"/>
          </w:tcPr>
          <w:p>
            <w:pPr>
              <w:jc w:val="center"/>
              <w:rPr>
                <w:sz w:val="20"/>
                <w:szCs w:val="20"/>
              </w:rPr>
            </w:pPr>
          </w:p>
        </w:tc>
        <w:tc>
          <w:tcPr>
            <w:tcW w:w="794" w:type="dxa"/>
            <w:gridSpan w:val="3"/>
            <w:vMerge w:val="continue"/>
            <w:tcBorders>
              <w:top w:val="single" w:color="auto" w:sz="4" w:space="0"/>
              <w:left w:val="nil"/>
              <w:bottom w:val="single" w:color="auto" w:sz="4" w:space="0"/>
              <w:right w:val="single" w:color="auto" w:sz="4" w:space="0"/>
            </w:tcBorders>
            <w:vAlign w:val="center"/>
          </w:tcPr>
          <w:p>
            <w:pPr>
              <w:jc w:val="center"/>
              <w:rPr>
                <w:sz w:val="20"/>
                <w:szCs w:val="20"/>
              </w:rPr>
            </w:pPr>
          </w:p>
        </w:tc>
        <w:tc>
          <w:tcPr>
            <w:tcW w:w="1669" w:type="dxa"/>
            <w:gridSpan w:val="3"/>
            <w:tcBorders>
              <w:top w:val="nil"/>
              <w:left w:val="single" w:color="auto" w:sz="4" w:space="0"/>
              <w:bottom w:val="single" w:color="auto" w:sz="4" w:space="0"/>
              <w:right w:val="single" w:color="auto" w:sz="4" w:space="0"/>
            </w:tcBorders>
            <w:vAlign w:val="center"/>
          </w:tcPr>
          <w:p>
            <w:pPr>
              <w:jc w:val="center"/>
              <w:rPr>
                <w:sz w:val="20"/>
                <w:szCs w:val="20"/>
              </w:rPr>
            </w:pPr>
          </w:p>
        </w:tc>
      </w:tr>
      <w:tr>
        <w:tblPrEx>
          <w:tblCellMar>
            <w:top w:w="0" w:type="dxa"/>
            <w:left w:w="0" w:type="dxa"/>
            <w:bottom w:w="0" w:type="dxa"/>
            <w:right w:w="0" w:type="dxa"/>
          </w:tblCellMar>
        </w:tblPrEx>
        <w:trPr>
          <w:cantSplit/>
          <w:trHeight w:val="575" w:hRule="atLeast"/>
          <w:tblHeader/>
        </w:trPr>
        <w:tc>
          <w:tcPr>
            <w:tcW w:w="3828" w:type="dxa"/>
            <w:tcBorders>
              <w:top w:val="single" w:color="auto" w:sz="4" w:space="0"/>
              <w:left w:val="single" w:color="auto" w:sz="4" w:space="0"/>
              <w:bottom w:val="nil"/>
              <w:right w:val="single" w:color="auto" w:sz="4" w:space="0"/>
            </w:tcBorders>
            <w:vAlign w:val="center"/>
          </w:tcPr>
          <w:p>
            <w:pPr>
              <w:rPr>
                <w:b/>
                <w:bCs/>
                <w:sz w:val="20"/>
                <w:szCs w:val="20"/>
              </w:rPr>
            </w:pPr>
          </w:p>
        </w:tc>
        <w:tc>
          <w:tcPr>
            <w:tcW w:w="1932" w:type="dxa"/>
            <w:tcBorders>
              <w:top w:val="single" w:color="auto" w:sz="4" w:space="0"/>
              <w:left w:val="nil"/>
              <w:right w:val="single" w:color="auto" w:sz="4" w:space="0"/>
            </w:tcBorders>
            <w:vAlign w:val="center"/>
          </w:tcPr>
          <w:p>
            <w:pPr>
              <w:jc w:val="center"/>
              <w:rPr>
                <w:sz w:val="20"/>
                <w:szCs w:val="20"/>
              </w:rPr>
            </w:pPr>
          </w:p>
        </w:tc>
        <w:tc>
          <w:tcPr>
            <w:tcW w:w="770" w:type="dxa"/>
            <w:tcBorders>
              <w:top w:val="single" w:color="auto" w:sz="4" w:space="0"/>
              <w:left w:val="nil"/>
              <w:right w:val="single" w:color="auto" w:sz="4" w:space="0"/>
            </w:tcBorders>
            <w:vAlign w:val="center"/>
          </w:tcPr>
          <w:p>
            <w:pPr>
              <w:jc w:val="center"/>
              <w:rPr>
                <w:sz w:val="20"/>
                <w:szCs w:val="20"/>
              </w:rPr>
            </w:pPr>
          </w:p>
        </w:tc>
        <w:tc>
          <w:tcPr>
            <w:tcW w:w="1267" w:type="dxa"/>
            <w:gridSpan w:val="4"/>
            <w:vMerge w:val="continue"/>
            <w:tcBorders>
              <w:top w:val="single" w:color="auto" w:sz="4" w:space="0"/>
              <w:left w:val="nil"/>
              <w:bottom w:val="nil"/>
              <w:right w:val="single" w:color="auto" w:sz="4" w:space="0"/>
            </w:tcBorders>
            <w:vAlign w:val="center"/>
          </w:tcPr>
          <w:p>
            <w:pPr>
              <w:jc w:val="center"/>
              <w:rPr>
                <w:sz w:val="20"/>
                <w:szCs w:val="20"/>
              </w:rPr>
            </w:pPr>
          </w:p>
        </w:tc>
        <w:tc>
          <w:tcPr>
            <w:tcW w:w="397" w:type="dxa"/>
            <w:tcBorders>
              <w:top w:val="single" w:color="auto" w:sz="4" w:space="0"/>
              <w:left w:val="nil"/>
              <w:bottom w:val="nil"/>
              <w:right w:val="single" w:color="auto" w:sz="4" w:space="0"/>
            </w:tcBorders>
            <w:vAlign w:val="center"/>
          </w:tcPr>
          <w:p>
            <w:pPr>
              <w:jc w:val="center"/>
              <w:rPr>
                <w:sz w:val="18"/>
                <w:szCs w:val="18"/>
              </w:rPr>
            </w:pPr>
            <w:r>
              <w:rPr>
                <w:sz w:val="18"/>
                <w:szCs w:val="18"/>
              </w:rPr>
              <w:t>группа</w:t>
            </w:r>
          </w:p>
        </w:tc>
        <w:tc>
          <w:tcPr>
            <w:tcW w:w="397" w:type="dxa"/>
            <w:gridSpan w:val="2"/>
            <w:tcBorders>
              <w:top w:val="single" w:color="auto" w:sz="4" w:space="0"/>
              <w:left w:val="nil"/>
              <w:bottom w:val="nil"/>
              <w:right w:val="single" w:color="auto" w:sz="4" w:space="0"/>
            </w:tcBorders>
            <w:vAlign w:val="center"/>
          </w:tcPr>
          <w:p>
            <w:pPr>
              <w:jc w:val="center"/>
              <w:rPr>
                <w:sz w:val="18"/>
                <w:szCs w:val="18"/>
              </w:rPr>
            </w:pPr>
            <w:r>
              <w:rPr>
                <w:sz w:val="18"/>
                <w:szCs w:val="18"/>
              </w:rPr>
              <w:t>вид</w:t>
            </w:r>
          </w:p>
        </w:tc>
        <w:tc>
          <w:tcPr>
            <w:tcW w:w="1669" w:type="dxa"/>
            <w:gridSpan w:val="3"/>
            <w:tcBorders>
              <w:top w:val="single" w:color="auto" w:sz="4" w:space="0"/>
              <w:left w:val="single" w:color="auto" w:sz="4" w:space="0"/>
              <w:bottom w:val="nil"/>
              <w:right w:val="single" w:color="000000" w:sz="4" w:space="0"/>
            </w:tcBorders>
            <w:vAlign w:val="center"/>
          </w:tcPr>
          <w:p>
            <w:pPr>
              <w:jc w:val="center"/>
              <w:rPr>
                <w:sz w:val="20"/>
                <w:szCs w:val="20"/>
              </w:rPr>
            </w:pPr>
          </w:p>
        </w:tc>
      </w:tr>
      <w:tr>
        <w:trPr>
          <w:cantSplit/>
          <w:trHeight w:val="393" w:hRule="atLeast"/>
          <w:tblHeader/>
        </w:trPr>
        <w:tc>
          <w:tcPr>
            <w:tcW w:w="3828" w:type="dxa"/>
            <w:tcBorders>
              <w:top w:val="nil"/>
              <w:left w:val="single" w:color="auto" w:sz="4" w:space="0"/>
              <w:bottom w:val="nil"/>
              <w:right w:val="single" w:color="auto" w:sz="4" w:space="0"/>
            </w:tcBorders>
            <w:vAlign w:val="center"/>
          </w:tcPr>
          <w:p>
            <w:pPr>
              <w:rPr>
                <w:b/>
                <w:bCs/>
                <w:sz w:val="20"/>
                <w:szCs w:val="20"/>
              </w:rPr>
            </w:pPr>
          </w:p>
        </w:tc>
        <w:tc>
          <w:tcPr>
            <w:tcW w:w="6432" w:type="dxa"/>
            <w:gridSpan w:val="12"/>
            <w:tcBorders>
              <w:top w:val="single" w:color="auto" w:sz="4" w:space="0"/>
              <w:left w:val="nil"/>
              <w:right w:val="single" w:color="000000" w:sz="4" w:space="0"/>
            </w:tcBorders>
            <w:vAlign w:val="center"/>
          </w:tcPr>
          <w:p>
            <w:pPr>
              <w:jc w:val="center"/>
              <w:rPr>
                <w:sz w:val="20"/>
                <w:szCs w:val="20"/>
              </w:rPr>
            </w:pPr>
            <w:r>
              <w:rPr>
                <w:sz w:val="20"/>
                <w:szCs w:val="20"/>
              </w:rPr>
              <w:t>номер разряда</w:t>
            </w:r>
          </w:p>
        </w:tc>
      </w:tr>
      <w:tr>
        <w:tblPrEx>
          <w:tblCellMar>
            <w:top w:w="0" w:type="dxa"/>
            <w:left w:w="0" w:type="dxa"/>
            <w:bottom w:w="0" w:type="dxa"/>
            <w:right w:w="0" w:type="dxa"/>
          </w:tblCellMar>
        </w:tblPrEx>
        <w:trPr>
          <w:cantSplit/>
          <w:trHeight w:val="210" w:hRule="atLeast"/>
          <w:tblHeader/>
        </w:trPr>
        <w:tc>
          <w:tcPr>
            <w:tcW w:w="3828" w:type="dxa"/>
            <w:tcBorders>
              <w:top w:val="nil"/>
              <w:left w:val="single" w:color="auto" w:sz="4" w:space="0"/>
              <w:bottom w:val="single" w:color="auto" w:sz="4" w:space="0"/>
              <w:right w:val="single" w:color="auto" w:sz="4" w:space="0"/>
            </w:tcBorders>
            <w:vAlign w:val="center"/>
          </w:tcPr>
          <w:p>
            <w:pPr>
              <w:rPr>
                <w:b/>
                <w:bCs/>
                <w:sz w:val="20"/>
                <w:szCs w:val="20"/>
              </w:rPr>
            </w:pPr>
            <w:r>
              <w:rPr>
                <w:b/>
                <w:bCs/>
                <w:sz w:val="20"/>
                <w:szCs w:val="20"/>
              </w:rPr>
              <w:t> </w:t>
            </w:r>
          </w:p>
        </w:tc>
        <w:tc>
          <w:tcPr>
            <w:tcW w:w="1932"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1-17</w:t>
            </w:r>
          </w:p>
        </w:tc>
        <w:tc>
          <w:tcPr>
            <w:tcW w:w="770"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18</w:t>
            </w:r>
          </w:p>
        </w:tc>
        <w:tc>
          <w:tcPr>
            <w:tcW w:w="425"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19</w:t>
            </w:r>
          </w:p>
        </w:tc>
        <w:tc>
          <w:tcPr>
            <w:tcW w:w="426"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20</w:t>
            </w:r>
          </w:p>
        </w:tc>
        <w:tc>
          <w:tcPr>
            <w:tcW w:w="380"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21</w:t>
            </w:r>
          </w:p>
        </w:tc>
        <w:tc>
          <w:tcPr>
            <w:tcW w:w="461" w:type="dxa"/>
            <w:gridSpan w:val="3"/>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22</w:t>
            </w:r>
          </w:p>
        </w:tc>
        <w:tc>
          <w:tcPr>
            <w:tcW w:w="369"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23</w:t>
            </w:r>
          </w:p>
        </w:tc>
        <w:tc>
          <w:tcPr>
            <w:tcW w:w="481"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24</w:t>
            </w:r>
          </w:p>
        </w:tc>
        <w:tc>
          <w:tcPr>
            <w:tcW w:w="415"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25</w:t>
            </w:r>
          </w:p>
        </w:tc>
        <w:tc>
          <w:tcPr>
            <w:tcW w:w="773" w:type="dxa"/>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26</w:t>
            </w:r>
          </w:p>
        </w:tc>
      </w:tr>
    </w:tbl>
    <w:p>
      <w:pPr>
        <w:autoSpaceDE w:val="0"/>
        <w:autoSpaceDN w:val="0"/>
        <w:adjustRightInd w:val="0"/>
        <w:spacing w:line="276" w:lineRule="auto"/>
        <w:ind w:firstLine="567"/>
        <w:jc w:val="both"/>
      </w:pPr>
      <w:r>
        <w:t xml:space="preserve">Код аналитический по БК соответствует кодам </w:t>
      </w:r>
    </w:p>
    <w:p>
      <w:pPr>
        <w:numPr>
          <w:ilvl w:val="0"/>
          <w:numId w:val="4"/>
        </w:numPr>
        <w:autoSpaceDE w:val="0"/>
        <w:autoSpaceDN w:val="0"/>
        <w:adjustRightInd w:val="0"/>
        <w:spacing w:line="276" w:lineRule="auto"/>
        <w:jc w:val="both"/>
      </w:pPr>
      <w:r>
        <w:t>КДБ - с 4 по 20 разряд кода доходов классификации доходов бюджета;</w:t>
      </w:r>
    </w:p>
    <w:p>
      <w:pPr>
        <w:numPr>
          <w:ilvl w:val="0"/>
          <w:numId w:val="4"/>
        </w:numPr>
        <w:autoSpaceDE w:val="0"/>
        <w:autoSpaceDN w:val="0"/>
        <w:adjustRightInd w:val="0"/>
        <w:spacing w:line="276" w:lineRule="auto"/>
        <w:jc w:val="both"/>
      </w:pPr>
      <w:r>
        <w:t>КРБ  - с  4 по  20  разряд  кода  расходов  классификации  расходов бюджета;</w:t>
      </w:r>
    </w:p>
    <w:p>
      <w:pPr>
        <w:numPr>
          <w:ilvl w:val="0"/>
          <w:numId w:val="4"/>
        </w:numPr>
        <w:autoSpaceDE w:val="0"/>
        <w:autoSpaceDN w:val="0"/>
        <w:adjustRightInd w:val="0"/>
        <w:spacing w:line="276" w:lineRule="auto"/>
        <w:jc w:val="both"/>
      </w:pPr>
      <w:r>
        <w:t>КИФ  с 4 по 20 разряд кода источника финансирования дефицита бюджета классификации   источников  финансирования  дефицита  бюджета.</w:t>
      </w:r>
    </w:p>
    <w:p>
      <w:pPr>
        <w:autoSpaceDE w:val="0"/>
        <w:autoSpaceDN w:val="0"/>
        <w:adjustRightInd w:val="0"/>
        <w:spacing w:line="276" w:lineRule="auto"/>
        <w:ind w:firstLine="567"/>
        <w:jc w:val="both"/>
      </w:pPr>
      <w:r>
        <w:t>Код аналитический по КОСГУ - соответствующий код КОСГУ в соответствии с Порядком № 209н.</w:t>
      </w:r>
    </w:p>
    <w:p>
      <w:pPr>
        <w:ind w:firstLine="567"/>
        <w:jc w:val="both"/>
      </w:pPr>
      <w:r>
        <w:rPr>
          <w:color w:val="000000"/>
          <w:shd w:val="clear" w:color="auto" w:fill="FFFFFF"/>
        </w:rPr>
        <w:t>Дополнительно 1–18 разряды номера счета Рабочего плана счетов формируются с учетом следующих правил: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Style w:val="12"/>
        <w:tblW w:w="0" w:type="auto"/>
        <w:tblInd w:w="15" w:type="dxa"/>
        <w:tblLayout w:type="autofit"/>
        <w:tblCellMar>
          <w:top w:w="15" w:type="dxa"/>
          <w:left w:w="15" w:type="dxa"/>
          <w:bottom w:w="15" w:type="dxa"/>
          <w:right w:w="15" w:type="dxa"/>
        </w:tblCellMar>
      </w:tblPr>
      <w:tblGrid>
        <w:gridCol w:w="2485"/>
        <w:gridCol w:w="7229"/>
      </w:tblGrid>
      <w:tr>
        <w:tblPrEx>
          <w:tblCellMar>
            <w:top w:w="15" w:type="dxa"/>
            <w:left w:w="15" w:type="dxa"/>
            <w:bottom w:w="15" w:type="dxa"/>
            <w:right w:w="15" w:type="dxa"/>
          </w:tblCellMar>
        </w:tblPrEx>
        <w:tc>
          <w:tcPr>
            <w:tcW w:w="2485"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vAlign w:val="center"/>
          </w:tcPr>
          <w:p>
            <w:pPr>
              <w:jc w:val="center"/>
            </w:pPr>
            <w:r>
              <w:rPr>
                <w:b/>
                <w:bCs/>
              </w:rPr>
              <w:t>Разряд номера </w:t>
            </w:r>
            <w:r>
              <w:rPr>
                <w:b/>
                <w:bCs/>
              </w:rPr>
              <w:br w:type="textWrapping"/>
            </w:r>
            <w:r>
              <w:rPr>
                <w:b/>
                <w:bCs/>
              </w:rPr>
              <w:t>счета</w:t>
            </w:r>
          </w:p>
        </w:tc>
        <w:tc>
          <w:tcPr>
            <w:tcW w:w="7229"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vAlign w:val="center"/>
          </w:tcPr>
          <w:p>
            <w:pPr>
              <w:jc w:val="center"/>
            </w:pPr>
            <w:r>
              <w:rPr>
                <w:b/>
                <w:bCs/>
              </w:rPr>
              <w:t>Код</w:t>
            </w:r>
          </w:p>
        </w:tc>
      </w:tr>
      <w:tr>
        <w:tblPrEx>
          <w:tblCellMar>
            <w:top w:w="15" w:type="dxa"/>
            <w:left w:w="15" w:type="dxa"/>
            <w:bottom w:w="15" w:type="dxa"/>
            <w:right w:w="15" w:type="dxa"/>
          </w:tblCellMar>
        </w:tblPrEx>
        <w:tc>
          <w:tcPr>
            <w:tcW w:w="2485"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vAlign w:val="center"/>
          </w:tcPr>
          <w:p>
            <w:pPr>
              <w:jc w:val="center"/>
            </w:pPr>
            <w:r>
              <w:t>1 – 4</w:t>
            </w:r>
          </w:p>
        </w:tc>
        <w:tc>
          <w:tcPr>
            <w:tcW w:w="7229"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tcPr>
          <w:p>
            <w:pPr>
              <w:spacing w:after="120"/>
            </w:pPr>
            <w:r>
              <w:rPr>
                <w:iCs/>
              </w:rPr>
              <w:t>Аналитический код вида услуги:</w:t>
            </w:r>
          </w:p>
          <w:p>
            <w:pPr>
              <w:autoSpaceDE w:val="0"/>
              <w:autoSpaceDN w:val="0"/>
              <w:adjustRightInd w:val="0"/>
              <w:spacing w:line="276" w:lineRule="auto"/>
              <w:jc w:val="both"/>
              <w:outlineLvl w:val="0"/>
            </w:pPr>
            <w:r>
              <w:t>0701 – Дошкольное образование</w:t>
            </w:r>
          </w:p>
          <w:p>
            <w:pPr>
              <w:autoSpaceDE w:val="0"/>
              <w:autoSpaceDN w:val="0"/>
              <w:adjustRightInd w:val="0"/>
              <w:spacing w:line="276" w:lineRule="auto"/>
              <w:jc w:val="both"/>
              <w:outlineLvl w:val="0"/>
            </w:pPr>
            <w:r>
              <w:t>0401 – Общеэкономические вопросы (в части трудоустройства несовершеннолетних)</w:t>
            </w:r>
          </w:p>
        </w:tc>
      </w:tr>
      <w:tr>
        <w:tblPrEx>
          <w:tblCellMar>
            <w:top w:w="15" w:type="dxa"/>
            <w:left w:w="15" w:type="dxa"/>
            <w:bottom w:w="15" w:type="dxa"/>
            <w:right w:w="15" w:type="dxa"/>
          </w:tblCellMar>
        </w:tblPrEx>
        <w:tc>
          <w:tcPr>
            <w:tcW w:w="2485"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tcPr>
          <w:p>
            <w:pPr>
              <w:jc w:val="center"/>
            </w:pPr>
            <w:r>
              <w:t>5 – 14</w:t>
            </w:r>
          </w:p>
        </w:tc>
        <w:tc>
          <w:tcPr>
            <w:tcW w:w="7229"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tcPr>
          <w:p>
            <w:pPr>
              <w:rPr>
                <w:highlight w:val="none"/>
              </w:rPr>
            </w:pPr>
            <w:r>
              <w:rPr>
                <w:highlight w:val="none"/>
              </w:rPr>
              <w:t xml:space="preserve">0000000000 </w:t>
            </w:r>
          </w:p>
        </w:tc>
      </w:tr>
      <w:tr>
        <w:tblPrEx>
          <w:tblCellMar>
            <w:top w:w="15" w:type="dxa"/>
            <w:left w:w="15" w:type="dxa"/>
            <w:bottom w:w="15" w:type="dxa"/>
            <w:right w:w="15" w:type="dxa"/>
          </w:tblCellMar>
        </w:tblPrEx>
        <w:tc>
          <w:tcPr>
            <w:tcW w:w="2485"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tcPr>
          <w:p>
            <w:pPr>
              <w:jc w:val="center"/>
            </w:pPr>
            <w:r>
              <w:t>15–17</w:t>
            </w:r>
          </w:p>
        </w:tc>
        <w:tc>
          <w:tcPr>
            <w:tcW w:w="7229"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tcPr>
          <w:p>
            <w:pPr>
              <w:spacing w:after="120"/>
              <w:jc w:val="both"/>
            </w:pPr>
            <w:r>
              <w:rPr>
                <w:iCs/>
              </w:rPr>
              <w:t>Код вида поступлений или выбытий, соответствующий</w:t>
            </w:r>
            <w:r>
              <w:t>:</w:t>
            </w:r>
          </w:p>
          <w:p>
            <w:pPr>
              <w:numPr>
                <w:ilvl w:val="0"/>
                <w:numId w:val="5"/>
              </w:numPr>
            </w:pPr>
            <w:r>
              <w:t>аналитической группе подвида доходов бюджетов;</w:t>
            </w:r>
          </w:p>
          <w:p>
            <w:pPr>
              <w:numPr>
                <w:ilvl w:val="0"/>
                <w:numId w:val="5"/>
              </w:numPr>
            </w:pPr>
            <w:r>
              <w:t>коду вида расходов;</w:t>
            </w:r>
          </w:p>
          <w:p>
            <w:pPr>
              <w:numPr>
                <w:ilvl w:val="0"/>
                <w:numId w:val="5"/>
              </w:numPr>
            </w:pPr>
            <w:r>
              <w:t>аналитической группе вида источников финансирования  дефицитов бюджетов</w:t>
            </w:r>
          </w:p>
        </w:tc>
      </w:tr>
      <w:tr>
        <w:tblPrEx>
          <w:tblCellMar>
            <w:top w:w="15" w:type="dxa"/>
            <w:left w:w="15" w:type="dxa"/>
            <w:bottom w:w="15" w:type="dxa"/>
            <w:right w:w="15" w:type="dxa"/>
          </w:tblCellMar>
        </w:tblPrEx>
        <w:tc>
          <w:tcPr>
            <w:tcW w:w="2485"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tcPr>
          <w:p>
            <w:pPr>
              <w:jc w:val="center"/>
            </w:pPr>
            <w:r>
              <w:t>18</w:t>
            </w:r>
          </w:p>
        </w:tc>
        <w:tc>
          <w:tcPr>
            <w:tcW w:w="7229" w:type="dxa"/>
            <w:tcBorders>
              <w:top w:val="single" w:color="222222" w:sz="6" w:space="0"/>
              <w:left w:val="single" w:color="222222" w:sz="6" w:space="0"/>
              <w:bottom w:val="single" w:color="222222" w:sz="6" w:space="0"/>
              <w:right w:val="single" w:color="222222" w:sz="6" w:space="0"/>
            </w:tcBorders>
            <w:tcMar>
              <w:top w:w="90" w:type="dxa"/>
              <w:left w:w="90" w:type="dxa"/>
              <w:bottom w:w="90" w:type="dxa"/>
              <w:right w:w="90" w:type="dxa"/>
            </w:tcMar>
          </w:tcPr>
          <w:p>
            <w:pPr>
              <w:spacing w:after="120"/>
            </w:pPr>
            <w:r>
              <w:rPr>
                <w:iCs/>
              </w:rPr>
              <w:t>Код вида финансового обеспечения (деятельности)</w:t>
            </w:r>
          </w:p>
        </w:tc>
      </w:tr>
    </w:tbl>
    <w:p>
      <w:pPr>
        <w:autoSpaceDE w:val="0"/>
        <w:autoSpaceDN w:val="0"/>
        <w:adjustRightInd w:val="0"/>
        <w:spacing w:line="276" w:lineRule="auto"/>
        <w:ind w:firstLine="567"/>
        <w:jc w:val="both"/>
        <w:outlineLvl w:val="0"/>
      </w:pPr>
      <w:r>
        <w:t>По отдельным счетам в 1–17 разрядах номера счета отражать нули:</w:t>
      </w:r>
    </w:p>
    <w:tbl>
      <w:tblPr>
        <w:tblStyle w:val="12"/>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559"/>
        <w:gridCol w:w="2010"/>
        <w:gridCol w:w="1565"/>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ind w:left="-817" w:firstLine="817"/>
              <w:jc w:val="center"/>
              <w:outlineLvl w:val="0"/>
              <w:rPr>
                <w:sz w:val="20"/>
                <w:szCs w:val="20"/>
              </w:rPr>
            </w:pPr>
            <w:r>
              <w:rPr>
                <w:sz w:val="20"/>
                <w:szCs w:val="20"/>
              </w:rPr>
              <w:t>Счет</w:t>
            </w:r>
          </w:p>
        </w:tc>
        <w:tc>
          <w:tcPr>
            <w:tcW w:w="1559" w:type="dxa"/>
            <w:shd w:val="clear" w:color="auto" w:fill="auto"/>
          </w:tcPr>
          <w:p>
            <w:pPr>
              <w:autoSpaceDE w:val="0"/>
              <w:autoSpaceDN w:val="0"/>
              <w:adjustRightInd w:val="0"/>
              <w:spacing w:line="276" w:lineRule="auto"/>
              <w:jc w:val="center"/>
              <w:outlineLvl w:val="0"/>
              <w:rPr>
                <w:sz w:val="20"/>
                <w:szCs w:val="20"/>
              </w:rPr>
            </w:pPr>
            <w:r>
              <w:rPr>
                <w:sz w:val="20"/>
                <w:szCs w:val="20"/>
              </w:rPr>
              <w:t>1–4 разряды</w:t>
            </w:r>
          </w:p>
          <w:p>
            <w:pPr>
              <w:autoSpaceDE w:val="0"/>
              <w:autoSpaceDN w:val="0"/>
              <w:adjustRightInd w:val="0"/>
              <w:spacing w:line="276" w:lineRule="auto"/>
              <w:jc w:val="center"/>
              <w:outlineLvl w:val="0"/>
              <w:rPr>
                <w:sz w:val="20"/>
                <w:szCs w:val="20"/>
              </w:rPr>
            </w:pPr>
            <w:r>
              <w:rPr>
                <w:sz w:val="20"/>
                <w:szCs w:val="20"/>
              </w:rPr>
              <w:t>номера счета</w:t>
            </w:r>
          </w:p>
        </w:tc>
        <w:tc>
          <w:tcPr>
            <w:tcW w:w="2010" w:type="dxa"/>
            <w:shd w:val="clear" w:color="auto" w:fill="auto"/>
          </w:tcPr>
          <w:p>
            <w:pPr>
              <w:autoSpaceDE w:val="0"/>
              <w:autoSpaceDN w:val="0"/>
              <w:adjustRightInd w:val="0"/>
              <w:spacing w:line="276" w:lineRule="auto"/>
              <w:jc w:val="center"/>
              <w:outlineLvl w:val="0"/>
              <w:rPr>
                <w:sz w:val="20"/>
                <w:szCs w:val="20"/>
              </w:rPr>
            </w:pPr>
            <w:r>
              <w:rPr>
                <w:sz w:val="20"/>
                <w:szCs w:val="20"/>
              </w:rPr>
              <w:t>5-14 разряды номера счета</w:t>
            </w:r>
          </w:p>
        </w:tc>
        <w:tc>
          <w:tcPr>
            <w:tcW w:w="1565" w:type="dxa"/>
            <w:shd w:val="clear" w:color="auto" w:fill="auto"/>
          </w:tcPr>
          <w:p>
            <w:pPr>
              <w:autoSpaceDE w:val="0"/>
              <w:autoSpaceDN w:val="0"/>
              <w:adjustRightInd w:val="0"/>
              <w:spacing w:line="276" w:lineRule="auto"/>
              <w:jc w:val="center"/>
              <w:outlineLvl w:val="0"/>
              <w:rPr>
                <w:sz w:val="20"/>
                <w:szCs w:val="20"/>
              </w:rPr>
            </w:pPr>
            <w:r>
              <w:rPr>
                <w:sz w:val="20"/>
                <w:szCs w:val="20"/>
              </w:rPr>
              <w:t>15-17 разряды номера счета</w:t>
            </w:r>
          </w:p>
        </w:tc>
        <w:tc>
          <w:tcPr>
            <w:tcW w:w="3229" w:type="dxa"/>
            <w:shd w:val="clear" w:color="auto" w:fill="auto"/>
          </w:tcPr>
          <w:p>
            <w:pPr>
              <w:autoSpaceDE w:val="0"/>
              <w:autoSpaceDN w:val="0"/>
              <w:adjustRightInd w:val="0"/>
              <w:spacing w:line="276" w:lineRule="auto"/>
              <w:jc w:val="center"/>
              <w:outlineLvl w:val="0"/>
              <w:rPr>
                <w:sz w:val="20"/>
                <w:szCs w:val="20"/>
              </w:rPr>
            </w:pPr>
            <w:r>
              <w:rPr>
                <w:sz w:val="20"/>
                <w:szCs w:val="20"/>
              </w:rPr>
              <w:t xml:space="preserve">Примечание: </w:t>
            </w:r>
          </w:p>
          <w:p>
            <w:pPr>
              <w:autoSpaceDE w:val="0"/>
              <w:autoSpaceDN w:val="0"/>
              <w:adjustRightInd w:val="0"/>
              <w:spacing w:line="276" w:lineRule="auto"/>
              <w:jc w:val="center"/>
              <w:outlineLvl w:val="0"/>
              <w:rPr>
                <w:sz w:val="20"/>
                <w:szCs w:val="20"/>
              </w:rPr>
            </w:pPr>
            <w:r>
              <w:rPr>
                <w:sz w:val="20"/>
                <w:szCs w:val="20"/>
              </w:rPr>
              <w:t>корреспондирующие счета**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8" w:type="dxa"/>
            <w:shd w:val="clear" w:color="auto" w:fill="auto"/>
          </w:tcPr>
          <w:p>
            <w:pPr>
              <w:autoSpaceDE w:val="0"/>
              <w:autoSpaceDN w:val="0"/>
              <w:adjustRightInd w:val="0"/>
              <w:spacing w:line="276" w:lineRule="auto"/>
              <w:outlineLvl w:val="0"/>
            </w:pPr>
            <w:r>
              <w:rPr>
                <w:color w:val="000000"/>
                <w:shd w:val="clear" w:color="auto" w:fill="FFFFFF"/>
              </w:rPr>
              <w:t>0.101.00*</w:t>
            </w:r>
          </w:p>
        </w:tc>
        <w:tc>
          <w:tcPr>
            <w:tcW w:w="1559" w:type="dxa"/>
            <w:shd w:val="clear" w:color="auto" w:fill="auto"/>
          </w:tcPr>
          <w:p>
            <w:pPr>
              <w:autoSpaceDE w:val="0"/>
              <w:autoSpaceDN w:val="0"/>
              <w:adjustRightInd w:val="0"/>
              <w:spacing w:line="276" w:lineRule="auto"/>
              <w:jc w:val="center"/>
              <w:outlineLvl w:val="0"/>
            </w:pPr>
            <w:r>
              <w:rPr>
                <w:color w:val="00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vMerge w:val="restart"/>
            <w:shd w:val="clear" w:color="auto" w:fill="auto"/>
          </w:tcPr>
          <w:p>
            <w:pPr>
              <w:autoSpaceDE w:val="0"/>
              <w:autoSpaceDN w:val="0"/>
              <w:adjustRightInd w:val="0"/>
              <w:spacing w:line="276" w:lineRule="auto"/>
              <w:jc w:val="both"/>
              <w:outlineLvl w:val="0"/>
            </w:pPr>
          </w:p>
          <w:p>
            <w:pPr>
              <w:autoSpaceDE w:val="0"/>
              <w:autoSpaceDN w:val="0"/>
              <w:adjustRightInd w:val="0"/>
              <w:spacing w:line="276" w:lineRule="auto"/>
              <w:jc w:val="both"/>
              <w:outlineLvl w:val="0"/>
            </w:pPr>
            <w:r>
              <w:t>0.401.20.240</w:t>
            </w:r>
          </w:p>
          <w:p>
            <w:pPr>
              <w:autoSpaceDE w:val="0"/>
              <w:autoSpaceDN w:val="0"/>
              <w:adjustRightInd w:val="0"/>
              <w:spacing w:line="276" w:lineRule="auto"/>
              <w:jc w:val="both"/>
              <w:outlineLvl w:val="0"/>
            </w:pPr>
            <w:r>
              <w:t>0.401.20.250</w:t>
            </w:r>
          </w:p>
          <w:p>
            <w:pPr>
              <w:autoSpaceDE w:val="0"/>
              <w:autoSpaceDN w:val="0"/>
              <w:adjustRightInd w:val="0"/>
              <w:spacing w:line="276" w:lineRule="auto"/>
              <w:jc w:val="both"/>
              <w:outlineLvl w:val="0"/>
            </w:pPr>
            <w:r>
              <w:t>0.401.20.270</w:t>
            </w:r>
          </w:p>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0.102.00*</w:t>
            </w:r>
          </w:p>
        </w:tc>
        <w:tc>
          <w:tcPr>
            <w:tcW w:w="1559" w:type="dxa"/>
            <w:shd w:val="clear" w:color="auto" w:fill="auto"/>
          </w:tcPr>
          <w:p>
            <w:pPr>
              <w:autoSpaceDE w:val="0"/>
              <w:autoSpaceDN w:val="0"/>
              <w:adjustRightInd w:val="0"/>
              <w:spacing w:line="276" w:lineRule="auto"/>
              <w:jc w:val="center"/>
              <w:outlineLvl w:val="0"/>
            </w:pPr>
            <w:r>
              <w:rPr>
                <w:color w:val="00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vMerge w:val="continue"/>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0.103.00*</w:t>
            </w:r>
          </w:p>
        </w:tc>
        <w:tc>
          <w:tcPr>
            <w:tcW w:w="1559" w:type="dxa"/>
            <w:shd w:val="clear" w:color="auto" w:fill="auto"/>
          </w:tcPr>
          <w:p>
            <w:pPr>
              <w:autoSpaceDE w:val="0"/>
              <w:autoSpaceDN w:val="0"/>
              <w:adjustRightInd w:val="0"/>
              <w:spacing w:line="276" w:lineRule="auto"/>
              <w:jc w:val="center"/>
              <w:outlineLvl w:val="0"/>
            </w:pPr>
            <w:r>
              <w:rPr>
                <w:color w:val="00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vMerge w:val="continue"/>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0.104.00*</w:t>
            </w:r>
          </w:p>
        </w:tc>
        <w:tc>
          <w:tcPr>
            <w:tcW w:w="1559" w:type="dxa"/>
            <w:shd w:val="clear" w:color="auto" w:fill="auto"/>
          </w:tcPr>
          <w:p>
            <w:pPr>
              <w:autoSpaceDE w:val="0"/>
              <w:autoSpaceDN w:val="0"/>
              <w:adjustRightInd w:val="0"/>
              <w:spacing w:line="276" w:lineRule="auto"/>
              <w:jc w:val="center"/>
              <w:outlineLvl w:val="0"/>
            </w:pPr>
            <w:r>
              <w:rPr>
                <w:color w:val="00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vMerge w:val="continue"/>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0.105.00*</w:t>
            </w:r>
          </w:p>
        </w:tc>
        <w:tc>
          <w:tcPr>
            <w:tcW w:w="1559" w:type="dxa"/>
            <w:shd w:val="clear" w:color="auto" w:fill="auto"/>
          </w:tcPr>
          <w:p>
            <w:pPr>
              <w:autoSpaceDE w:val="0"/>
              <w:autoSpaceDN w:val="0"/>
              <w:adjustRightInd w:val="0"/>
              <w:spacing w:line="276" w:lineRule="auto"/>
              <w:jc w:val="center"/>
              <w:outlineLvl w:val="0"/>
            </w:pPr>
            <w:r>
              <w:rPr>
                <w:color w:val="00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vMerge w:val="continue"/>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0.111.40</w:t>
            </w:r>
          </w:p>
        </w:tc>
        <w:tc>
          <w:tcPr>
            <w:tcW w:w="1559" w:type="dxa"/>
            <w:shd w:val="clear" w:color="auto" w:fill="auto"/>
          </w:tcPr>
          <w:p>
            <w:pPr>
              <w:autoSpaceDE w:val="0"/>
              <w:autoSpaceDN w:val="0"/>
              <w:adjustRightInd w:val="0"/>
              <w:spacing w:line="276" w:lineRule="auto"/>
              <w:jc w:val="center"/>
              <w:outlineLvl w:val="0"/>
            </w:pPr>
            <w:r>
              <w:rPr>
                <w:color w:val="00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0.111.60</w:t>
            </w:r>
          </w:p>
        </w:tc>
        <w:tc>
          <w:tcPr>
            <w:tcW w:w="1559" w:type="dxa"/>
            <w:shd w:val="clear" w:color="auto" w:fill="auto"/>
          </w:tcPr>
          <w:p>
            <w:pPr>
              <w:autoSpaceDE w:val="0"/>
              <w:autoSpaceDN w:val="0"/>
              <w:adjustRightInd w:val="0"/>
              <w:spacing w:line="276" w:lineRule="auto"/>
              <w:jc w:val="center"/>
              <w:outlineLvl w:val="0"/>
            </w:pPr>
            <w:r>
              <w:rPr>
                <w:color w:val="00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rPr>
                <w:highlight w:val="none"/>
              </w:rPr>
            </w:pPr>
            <w:r>
              <w:rPr>
                <w:highlight w:val="none"/>
              </w:rPr>
              <w:t>0.201.35</w:t>
            </w:r>
          </w:p>
        </w:tc>
        <w:tc>
          <w:tcPr>
            <w:tcW w:w="1559" w:type="dxa"/>
            <w:shd w:val="clear" w:color="auto" w:fill="auto"/>
          </w:tcPr>
          <w:p>
            <w:pPr>
              <w:autoSpaceDE w:val="0"/>
              <w:autoSpaceDN w:val="0"/>
              <w:adjustRightInd w:val="0"/>
              <w:spacing w:line="276" w:lineRule="auto"/>
              <w:jc w:val="center"/>
              <w:outlineLvl w:val="0"/>
              <w:rPr>
                <w:highlight w:val="none"/>
              </w:rPr>
            </w:pPr>
            <w:r>
              <w:rPr>
                <w:color w:val="000000"/>
                <w:highlight w:val="none"/>
                <w:shd w:val="clear" w:color="auto" w:fill="FFFFFF"/>
              </w:rPr>
              <w:t>ХХХХ</w:t>
            </w:r>
          </w:p>
        </w:tc>
        <w:tc>
          <w:tcPr>
            <w:tcW w:w="2010" w:type="dxa"/>
            <w:shd w:val="clear" w:color="auto" w:fill="auto"/>
          </w:tcPr>
          <w:p>
            <w:pPr>
              <w:autoSpaceDE w:val="0"/>
              <w:autoSpaceDN w:val="0"/>
              <w:adjustRightInd w:val="0"/>
              <w:spacing w:line="276" w:lineRule="auto"/>
              <w:jc w:val="center"/>
              <w:outlineLvl w:val="0"/>
              <w:rPr>
                <w:highlight w:val="none"/>
              </w:rPr>
            </w:pPr>
            <w:r>
              <w:rPr>
                <w:color w:val="000000"/>
                <w:highlight w:val="none"/>
                <w:shd w:val="clear" w:color="auto" w:fill="FFFFFF"/>
              </w:rPr>
              <w:t>0000000000</w:t>
            </w:r>
          </w:p>
        </w:tc>
        <w:tc>
          <w:tcPr>
            <w:tcW w:w="1565" w:type="dxa"/>
            <w:shd w:val="clear" w:color="auto" w:fill="auto"/>
          </w:tcPr>
          <w:p>
            <w:pPr>
              <w:autoSpaceDE w:val="0"/>
              <w:autoSpaceDN w:val="0"/>
              <w:adjustRightInd w:val="0"/>
              <w:spacing w:line="276" w:lineRule="auto"/>
              <w:jc w:val="center"/>
              <w:outlineLvl w:val="0"/>
              <w:rPr>
                <w:highlight w:val="none"/>
              </w:rPr>
            </w:pPr>
            <w:r>
              <w:rPr>
                <w:color w:val="000000"/>
                <w:highlight w:val="none"/>
                <w:shd w:val="clear" w:color="auto" w:fill="FFFFFF"/>
              </w:rPr>
              <w:t>000</w:t>
            </w:r>
          </w:p>
        </w:tc>
        <w:tc>
          <w:tcPr>
            <w:tcW w:w="3229" w:type="dxa"/>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0.201.00</w:t>
            </w:r>
          </w:p>
        </w:tc>
        <w:tc>
          <w:tcPr>
            <w:tcW w:w="1559" w:type="dxa"/>
            <w:shd w:val="clear" w:color="auto" w:fill="auto"/>
          </w:tcPr>
          <w:p>
            <w:pPr>
              <w:autoSpaceDE w:val="0"/>
              <w:autoSpaceDN w:val="0"/>
              <w:adjustRightInd w:val="0"/>
              <w:spacing w:line="276" w:lineRule="auto"/>
              <w:jc w:val="center"/>
              <w:outlineLvl w:val="0"/>
              <w:rPr>
                <w:color w:val="FF0000"/>
              </w:rPr>
            </w:pPr>
            <w:r>
              <w:rPr>
                <w:color w:val="FF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rPr>
                <w:highlight w:val="none"/>
              </w:rPr>
            </w:pPr>
            <w:r>
              <w:rPr>
                <w:highlight w:val="none"/>
              </w:rPr>
              <w:t>0.204.00*</w:t>
            </w:r>
          </w:p>
        </w:tc>
        <w:tc>
          <w:tcPr>
            <w:tcW w:w="1559" w:type="dxa"/>
            <w:shd w:val="clear" w:color="auto" w:fill="auto"/>
          </w:tcPr>
          <w:p>
            <w:pPr>
              <w:autoSpaceDE w:val="0"/>
              <w:autoSpaceDN w:val="0"/>
              <w:adjustRightInd w:val="0"/>
              <w:spacing w:line="276" w:lineRule="auto"/>
              <w:jc w:val="center"/>
              <w:outlineLvl w:val="0"/>
              <w:rPr>
                <w:highlight w:val="none"/>
              </w:rPr>
            </w:pPr>
            <w:r>
              <w:rPr>
                <w:highlight w:val="none"/>
              </w:rPr>
              <w:t>0000</w:t>
            </w:r>
          </w:p>
        </w:tc>
        <w:tc>
          <w:tcPr>
            <w:tcW w:w="2010" w:type="dxa"/>
            <w:shd w:val="clear" w:color="auto" w:fill="auto"/>
          </w:tcPr>
          <w:p>
            <w:pPr>
              <w:autoSpaceDE w:val="0"/>
              <w:autoSpaceDN w:val="0"/>
              <w:adjustRightInd w:val="0"/>
              <w:spacing w:line="276" w:lineRule="auto"/>
              <w:jc w:val="center"/>
              <w:outlineLvl w:val="0"/>
              <w:rPr>
                <w:highlight w:val="none"/>
              </w:rPr>
            </w:pPr>
            <w:r>
              <w:rPr>
                <w:color w:val="000000"/>
                <w:highlight w:val="none"/>
                <w:shd w:val="clear" w:color="auto" w:fill="FFFFFF"/>
              </w:rPr>
              <w:t>0000000000</w:t>
            </w:r>
          </w:p>
        </w:tc>
        <w:tc>
          <w:tcPr>
            <w:tcW w:w="1565" w:type="dxa"/>
            <w:shd w:val="clear" w:color="auto" w:fill="auto"/>
          </w:tcPr>
          <w:p>
            <w:pPr>
              <w:autoSpaceDE w:val="0"/>
              <w:autoSpaceDN w:val="0"/>
              <w:adjustRightInd w:val="0"/>
              <w:spacing w:line="276" w:lineRule="auto"/>
              <w:jc w:val="center"/>
              <w:outlineLvl w:val="0"/>
              <w:rPr>
                <w:highlight w:val="none"/>
              </w:rPr>
            </w:pPr>
            <w:r>
              <w:rPr>
                <w:color w:val="000000"/>
                <w:highlight w:val="none"/>
                <w:shd w:val="clear" w:color="auto" w:fill="FFFFFF"/>
              </w:rPr>
              <w:t>000</w:t>
            </w:r>
          </w:p>
        </w:tc>
        <w:tc>
          <w:tcPr>
            <w:tcW w:w="3229" w:type="dxa"/>
            <w:shd w:val="clear" w:color="auto" w:fill="auto"/>
          </w:tcPr>
          <w:p>
            <w:pPr>
              <w:autoSpaceDE w:val="0"/>
              <w:autoSpaceDN w:val="0"/>
              <w:adjustRightInd w:val="0"/>
              <w:spacing w:line="276" w:lineRule="auto"/>
              <w:jc w:val="both"/>
              <w:outlineLvl w:val="0"/>
            </w:pPr>
            <w:r>
              <w:t>0.401.20.241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rPr>
                <w:highlight w:val="none"/>
              </w:rPr>
            </w:pPr>
            <w:r>
              <w:rPr>
                <w:highlight w:val="none"/>
              </w:rPr>
              <w:t>0.304.01</w:t>
            </w:r>
          </w:p>
        </w:tc>
        <w:tc>
          <w:tcPr>
            <w:tcW w:w="1559" w:type="dxa"/>
            <w:shd w:val="clear" w:color="auto" w:fill="auto"/>
          </w:tcPr>
          <w:p>
            <w:pPr>
              <w:autoSpaceDE w:val="0"/>
              <w:autoSpaceDN w:val="0"/>
              <w:adjustRightInd w:val="0"/>
              <w:spacing w:line="276" w:lineRule="auto"/>
              <w:jc w:val="center"/>
              <w:outlineLvl w:val="0"/>
              <w:rPr>
                <w:highlight w:val="none"/>
              </w:rPr>
            </w:pPr>
            <w:r>
              <w:rPr>
                <w:highlight w:val="none"/>
              </w:rPr>
              <w:t>0000</w:t>
            </w:r>
          </w:p>
        </w:tc>
        <w:tc>
          <w:tcPr>
            <w:tcW w:w="2010" w:type="dxa"/>
            <w:shd w:val="clear" w:color="auto" w:fill="auto"/>
          </w:tcPr>
          <w:p>
            <w:pPr>
              <w:autoSpaceDE w:val="0"/>
              <w:autoSpaceDN w:val="0"/>
              <w:adjustRightInd w:val="0"/>
              <w:spacing w:line="276" w:lineRule="auto"/>
              <w:jc w:val="center"/>
              <w:outlineLvl w:val="0"/>
              <w:rPr>
                <w:highlight w:val="none"/>
              </w:rPr>
            </w:pPr>
            <w:r>
              <w:rPr>
                <w:color w:val="000000"/>
                <w:highlight w:val="none"/>
                <w:shd w:val="clear" w:color="auto" w:fill="FFFFFF"/>
              </w:rPr>
              <w:t>0000000000</w:t>
            </w:r>
          </w:p>
        </w:tc>
        <w:tc>
          <w:tcPr>
            <w:tcW w:w="1565" w:type="dxa"/>
            <w:shd w:val="clear" w:color="auto" w:fill="auto"/>
          </w:tcPr>
          <w:p>
            <w:pPr>
              <w:autoSpaceDE w:val="0"/>
              <w:autoSpaceDN w:val="0"/>
              <w:adjustRightInd w:val="0"/>
              <w:spacing w:line="276" w:lineRule="auto"/>
              <w:jc w:val="center"/>
              <w:outlineLvl w:val="0"/>
              <w:rPr>
                <w:highlight w:val="none"/>
              </w:rPr>
            </w:pPr>
            <w:r>
              <w:rPr>
                <w:color w:val="000000"/>
                <w:highlight w:val="none"/>
                <w:shd w:val="clear" w:color="auto" w:fill="FFFFFF"/>
              </w:rPr>
              <w:t>000</w:t>
            </w:r>
          </w:p>
        </w:tc>
        <w:tc>
          <w:tcPr>
            <w:tcW w:w="3229" w:type="dxa"/>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0.209.81</w:t>
            </w:r>
          </w:p>
        </w:tc>
        <w:tc>
          <w:tcPr>
            <w:tcW w:w="1559" w:type="dxa"/>
            <w:shd w:val="clear" w:color="auto" w:fill="auto"/>
          </w:tcPr>
          <w:p>
            <w:pPr>
              <w:autoSpaceDE w:val="0"/>
              <w:autoSpaceDN w:val="0"/>
              <w:adjustRightInd w:val="0"/>
              <w:spacing w:line="276" w:lineRule="auto"/>
              <w:jc w:val="center"/>
              <w:outlineLvl w:val="0"/>
            </w:pPr>
            <w:r>
              <w:t>0000</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0.210.05</w:t>
            </w:r>
          </w:p>
        </w:tc>
        <w:tc>
          <w:tcPr>
            <w:tcW w:w="1559" w:type="dxa"/>
            <w:shd w:val="clear" w:color="auto" w:fill="auto"/>
          </w:tcPr>
          <w:p>
            <w:pPr>
              <w:autoSpaceDE w:val="0"/>
              <w:autoSpaceDN w:val="0"/>
              <w:adjustRightInd w:val="0"/>
              <w:spacing w:line="276" w:lineRule="auto"/>
              <w:jc w:val="center"/>
              <w:outlineLvl w:val="0"/>
            </w:pPr>
            <w:r>
              <w:rPr>
                <w:color w:val="00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shd w:val="clear" w:color="auto" w:fill="auto"/>
          </w:tcPr>
          <w:p>
            <w:pPr>
              <w:autoSpaceDE w:val="0"/>
              <w:autoSpaceDN w:val="0"/>
              <w:adjustRightInd w:val="0"/>
              <w:spacing w:line="276" w:lineRule="auto"/>
              <w:jc w:val="both"/>
              <w:outlineLvl w:val="0"/>
            </w:pPr>
            <w:r>
              <w:t>для отражения операций по аренде на льготных условиях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0.210.05</w:t>
            </w:r>
          </w:p>
        </w:tc>
        <w:tc>
          <w:tcPr>
            <w:tcW w:w="1559" w:type="dxa"/>
            <w:shd w:val="clear" w:color="auto" w:fill="auto"/>
          </w:tcPr>
          <w:p>
            <w:pPr>
              <w:autoSpaceDE w:val="0"/>
              <w:autoSpaceDN w:val="0"/>
              <w:adjustRightInd w:val="0"/>
              <w:spacing w:line="276" w:lineRule="auto"/>
              <w:jc w:val="center"/>
              <w:outlineLvl w:val="0"/>
            </w:pPr>
            <w:r>
              <w:rPr>
                <w:color w:val="000000"/>
                <w:shd w:val="clear" w:color="auto" w:fill="FFFFFF"/>
              </w:rPr>
              <w:t>ХХХХ</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510</w:t>
            </w:r>
          </w:p>
        </w:tc>
        <w:tc>
          <w:tcPr>
            <w:tcW w:w="3229" w:type="dxa"/>
            <w:shd w:val="clear" w:color="auto" w:fill="auto"/>
          </w:tcPr>
          <w:p>
            <w:pPr>
              <w:autoSpaceDE w:val="0"/>
              <w:autoSpaceDN w:val="0"/>
              <w:adjustRightInd w:val="0"/>
              <w:spacing w:line="276" w:lineRule="auto"/>
              <w:outlineLvl w:val="0"/>
            </w:pPr>
            <w:r>
              <w:t>за исключением отражения операций по аренде на льготных условиях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rPr>
                <w:highlight w:val="none"/>
              </w:rPr>
            </w:pPr>
            <w:r>
              <w:rPr>
                <w:highlight w:val="none"/>
              </w:rPr>
              <w:t>0.210.06</w:t>
            </w:r>
          </w:p>
        </w:tc>
        <w:tc>
          <w:tcPr>
            <w:tcW w:w="1559" w:type="dxa"/>
            <w:shd w:val="clear" w:color="auto" w:fill="auto"/>
          </w:tcPr>
          <w:p>
            <w:pPr>
              <w:autoSpaceDE w:val="0"/>
              <w:autoSpaceDN w:val="0"/>
              <w:adjustRightInd w:val="0"/>
              <w:spacing w:line="276" w:lineRule="auto"/>
              <w:jc w:val="center"/>
              <w:outlineLvl w:val="0"/>
              <w:rPr>
                <w:highlight w:val="none"/>
              </w:rPr>
            </w:pPr>
            <w:r>
              <w:rPr>
                <w:highlight w:val="none"/>
              </w:rPr>
              <w:t>0000</w:t>
            </w:r>
          </w:p>
          <w:p>
            <w:pPr>
              <w:autoSpaceDE w:val="0"/>
              <w:autoSpaceDN w:val="0"/>
              <w:adjustRightInd w:val="0"/>
              <w:spacing w:line="276" w:lineRule="auto"/>
              <w:jc w:val="center"/>
              <w:outlineLvl w:val="0"/>
              <w:rPr>
                <w:highlight w:val="none"/>
              </w:rPr>
            </w:pPr>
            <w:r>
              <w:rPr>
                <w:highlight w:val="none"/>
              </w:rPr>
              <w:t>ХХХХ</w:t>
            </w:r>
          </w:p>
        </w:tc>
        <w:tc>
          <w:tcPr>
            <w:tcW w:w="2010" w:type="dxa"/>
            <w:shd w:val="clear" w:color="auto" w:fill="auto"/>
          </w:tcPr>
          <w:p>
            <w:pPr>
              <w:autoSpaceDE w:val="0"/>
              <w:autoSpaceDN w:val="0"/>
              <w:adjustRightInd w:val="0"/>
              <w:spacing w:line="276" w:lineRule="auto"/>
              <w:jc w:val="center"/>
              <w:outlineLvl w:val="0"/>
              <w:rPr>
                <w:highlight w:val="none"/>
              </w:rPr>
            </w:pPr>
            <w:r>
              <w:rPr>
                <w:color w:val="000000"/>
                <w:highlight w:val="none"/>
                <w:shd w:val="clear" w:color="auto" w:fill="FFFFFF"/>
              </w:rPr>
              <w:t>0000000000</w:t>
            </w:r>
          </w:p>
        </w:tc>
        <w:tc>
          <w:tcPr>
            <w:tcW w:w="1565" w:type="dxa"/>
            <w:shd w:val="clear" w:color="auto" w:fill="auto"/>
          </w:tcPr>
          <w:p>
            <w:pPr>
              <w:autoSpaceDE w:val="0"/>
              <w:autoSpaceDN w:val="0"/>
              <w:adjustRightInd w:val="0"/>
              <w:spacing w:line="276" w:lineRule="auto"/>
              <w:jc w:val="center"/>
              <w:outlineLvl w:val="0"/>
              <w:rPr>
                <w:highlight w:val="none"/>
              </w:rPr>
            </w:pPr>
            <w:r>
              <w:rPr>
                <w:color w:val="000000"/>
                <w:highlight w:val="none"/>
                <w:shd w:val="clear" w:color="auto" w:fill="FFFFFF"/>
              </w:rPr>
              <w:t>000</w:t>
            </w:r>
          </w:p>
        </w:tc>
        <w:tc>
          <w:tcPr>
            <w:tcW w:w="3229" w:type="dxa"/>
            <w:shd w:val="clear" w:color="auto" w:fill="auto"/>
          </w:tcPr>
          <w:p>
            <w:pPr>
              <w:autoSpaceDE w:val="0"/>
              <w:autoSpaceDN w:val="0"/>
              <w:adjustRightInd w:val="0"/>
              <w:spacing w:line="276" w:lineRule="auto"/>
              <w:jc w:val="both"/>
              <w:outlineLvl w:val="0"/>
            </w:pPr>
            <w:r>
              <w:t>0.401.10.172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0.401.30</w:t>
            </w:r>
          </w:p>
        </w:tc>
        <w:tc>
          <w:tcPr>
            <w:tcW w:w="1559" w:type="dxa"/>
            <w:shd w:val="clear" w:color="auto" w:fill="auto"/>
          </w:tcPr>
          <w:p>
            <w:pPr>
              <w:autoSpaceDE w:val="0"/>
              <w:autoSpaceDN w:val="0"/>
              <w:adjustRightInd w:val="0"/>
              <w:spacing w:line="276" w:lineRule="auto"/>
              <w:jc w:val="center"/>
              <w:outlineLvl w:val="0"/>
            </w:pPr>
            <w:r>
              <w:t>0000</w:t>
            </w:r>
          </w:p>
        </w:tc>
        <w:tc>
          <w:tcPr>
            <w:tcW w:w="2010" w:type="dxa"/>
            <w:shd w:val="clear" w:color="auto" w:fill="auto"/>
          </w:tcPr>
          <w:p>
            <w:pPr>
              <w:autoSpaceDE w:val="0"/>
              <w:autoSpaceDN w:val="0"/>
              <w:adjustRightInd w:val="0"/>
              <w:spacing w:line="276" w:lineRule="auto"/>
              <w:jc w:val="center"/>
              <w:outlineLvl w:val="0"/>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pPr>
            <w:r>
              <w:rPr>
                <w:color w:val="000000"/>
                <w:shd w:val="clear" w:color="auto" w:fill="FFFFFF"/>
              </w:rPr>
              <w:t>000</w:t>
            </w:r>
          </w:p>
        </w:tc>
        <w:tc>
          <w:tcPr>
            <w:tcW w:w="3229" w:type="dxa"/>
            <w:shd w:val="clear" w:color="auto" w:fill="auto"/>
          </w:tcPr>
          <w:p>
            <w:pPr>
              <w:autoSpaceDE w:val="0"/>
              <w:autoSpaceDN w:val="0"/>
              <w:adjustRightInd w:val="0"/>
              <w:spacing w:line="276" w:lineRule="auto"/>
              <w:jc w:val="both"/>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tcPr>
          <w:p>
            <w:pPr>
              <w:autoSpaceDE w:val="0"/>
              <w:autoSpaceDN w:val="0"/>
              <w:adjustRightInd w:val="0"/>
              <w:spacing w:line="276" w:lineRule="auto"/>
              <w:outlineLvl w:val="0"/>
            </w:pPr>
            <w:r>
              <w:t>0.401.60</w:t>
            </w:r>
          </w:p>
        </w:tc>
        <w:tc>
          <w:tcPr>
            <w:tcW w:w="1559" w:type="dxa"/>
            <w:shd w:val="clear" w:color="auto" w:fill="auto"/>
          </w:tcPr>
          <w:p>
            <w:pPr>
              <w:autoSpaceDE w:val="0"/>
              <w:autoSpaceDN w:val="0"/>
              <w:adjustRightInd w:val="0"/>
              <w:spacing w:line="276" w:lineRule="auto"/>
              <w:jc w:val="center"/>
              <w:outlineLvl w:val="0"/>
            </w:pPr>
            <w:r>
              <w:t>ХХХХ</w:t>
            </w:r>
          </w:p>
        </w:tc>
        <w:tc>
          <w:tcPr>
            <w:tcW w:w="2010" w:type="dxa"/>
            <w:shd w:val="clear" w:color="auto" w:fill="auto"/>
          </w:tcPr>
          <w:p>
            <w:pPr>
              <w:autoSpaceDE w:val="0"/>
              <w:autoSpaceDN w:val="0"/>
              <w:adjustRightInd w:val="0"/>
              <w:spacing w:line="276" w:lineRule="auto"/>
              <w:jc w:val="center"/>
              <w:outlineLvl w:val="0"/>
              <w:rPr>
                <w:color w:val="000000"/>
                <w:shd w:val="clear" w:color="auto" w:fill="FFFFFF"/>
              </w:rPr>
            </w:pPr>
            <w:r>
              <w:rPr>
                <w:color w:val="000000"/>
                <w:shd w:val="clear" w:color="auto" w:fill="FFFFFF"/>
              </w:rPr>
              <w:t>0000000000</w:t>
            </w:r>
          </w:p>
        </w:tc>
        <w:tc>
          <w:tcPr>
            <w:tcW w:w="1565" w:type="dxa"/>
            <w:shd w:val="clear" w:color="auto" w:fill="auto"/>
          </w:tcPr>
          <w:p>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29" w:type="dxa"/>
            <w:shd w:val="clear" w:color="auto" w:fill="auto"/>
          </w:tcPr>
          <w:p>
            <w:pPr>
              <w:autoSpaceDE w:val="0"/>
              <w:autoSpaceDN w:val="0"/>
              <w:adjustRightInd w:val="0"/>
              <w:spacing w:line="276" w:lineRule="auto"/>
              <w:jc w:val="both"/>
              <w:outlineLvl w:val="0"/>
            </w:pPr>
            <w:r>
              <w:t>0.401.20.ХХХ</w:t>
            </w:r>
          </w:p>
        </w:tc>
      </w:tr>
    </w:tbl>
    <w:p>
      <w:pPr>
        <w:autoSpaceDE w:val="0"/>
        <w:autoSpaceDN w:val="0"/>
        <w:adjustRightInd w:val="0"/>
        <w:spacing w:line="276" w:lineRule="auto"/>
        <w:ind w:left="927"/>
        <w:jc w:val="both"/>
        <w:outlineLvl w:val="0"/>
      </w:pPr>
    </w:p>
    <w:p>
      <w:pPr>
        <w:autoSpaceDE w:val="0"/>
        <w:autoSpaceDN w:val="0"/>
        <w:adjustRightInd w:val="0"/>
        <w:spacing w:line="276" w:lineRule="auto"/>
        <w:ind w:left="927"/>
        <w:jc w:val="both"/>
        <w:outlineLvl w:val="0"/>
      </w:pPr>
      <w:r>
        <w:t>* Если иное не предусмотрено целевым назначением имущества и средств, из которых приобрели имущество.</w:t>
      </w:r>
    </w:p>
    <w:p>
      <w:pPr>
        <w:autoSpaceDE w:val="0"/>
        <w:autoSpaceDN w:val="0"/>
        <w:adjustRightInd w:val="0"/>
        <w:spacing w:line="276" w:lineRule="auto"/>
        <w:ind w:left="927"/>
        <w:jc w:val="both"/>
        <w:outlineLvl w:val="0"/>
      </w:pPr>
      <w:r>
        <w:t>** Аналогичная структура КРБ у корреспондирующих счетов.</w:t>
      </w:r>
    </w:p>
    <w:p>
      <w:pPr>
        <w:spacing w:line="276" w:lineRule="auto"/>
        <w:ind w:firstLine="567"/>
        <w:jc w:val="both"/>
      </w:pPr>
      <w:r>
        <w:t>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183н, Порядком N 82н, Приказом N 209н.</w:t>
      </w:r>
    </w:p>
    <w:p>
      <w:pPr>
        <w:ind w:firstLine="540"/>
        <w:jc w:val="both"/>
        <w:rPr>
          <w:rFonts w:ascii="Verdana" w:hAnsi="Verdana"/>
          <w:sz w:val="21"/>
          <w:szCs w:val="21"/>
        </w:rPr>
      </w:pPr>
      <w:r>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политикой.</w:t>
      </w:r>
    </w:p>
    <w:p>
      <w:pPr>
        <w:widowControl w:val="0"/>
        <w:autoSpaceDE w:val="0"/>
        <w:autoSpaceDN w:val="0"/>
        <w:adjustRightInd w:val="0"/>
        <w:spacing w:line="276" w:lineRule="auto"/>
        <w:ind w:firstLine="540"/>
        <w:jc w:val="both"/>
      </w:pPr>
      <w:r>
        <w:t>1.5. Учреждением при осуществлении своей деятельности применяются следующие коды вида финансового обеспечения (деятельности):</w:t>
      </w:r>
    </w:p>
    <w:p>
      <w:pPr>
        <w:widowControl w:val="0"/>
        <w:autoSpaceDE w:val="0"/>
        <w:autoSpaceDN w:val="0"/>
        <w:adjustRightInd w:val="0"/>
        <w:spacing w:line="276" w:lineRule="auto"/>
        <w:ind w:firstLine="540"/>
        <w:jc w:val="both"/>
      </w:pPr>
      <w:r>
        <w:t>"2" - приносящая доход деятельность (собственные доходы);</w:t>
      </w:r>
    </w:p>
    <w:p>
      <w:pPr>
        <w:widowControl w:val="0"/>
        <w:autoSpaceDE w:val="0"/>
        <w:autoSpaceDN w:val="0"/>
        <w:adjustRightInd w:val="0"/>
        <w:spacing w:line="276" w:lineRule="auto"/>
        <w:ind w:firstLine="540"/>
        <w:jc w:val="both"/>
        <w:rPr>
          <w:highlight w:val="none"/>
        </w:rPr>
      </w:pPr>
      <w:r>
        <w:rPr>
          <w:highlight w:val="none"/>
        </w:rPr>
        <w:t>"3" - средства во временном распоряжении;</w:t>
      </w:r>
    </w:p>
    <w:p>
      <w:pPr>
        <w:widowControl w:val="0"/>
        <w:autoSpaceDE w:val="0"/>
        <w:autoSpaceDN w:val="0"/>
        <w:adjustRightInd w:val="0"/>
        <w:spacing w:line="276" w:lineRule="auto"/>
        <w:ind w:firstLine="540"/>
        <w:jc w:val="both"/>
      </w:pPr>
      <w:r>
        <w:t>"4" - субсидия на выполнение государственного (муниципального) задания;</w:t>
      </w:r>
    </w:p>
    <w:p>
      <w:pPr>
        <w:spacing w:line="276" w:lineRule="auto"/>
        <w:ind w:firstLine="567"/>
        <w:jc w:val="both"/>
      </w:pPr>
      <w:r>
        <w:t>"5" - субсидии на иные цели.</w:t>
      </w:r>
    </w:p>
    <w:p>
      <w:pPr>
        <w:spacing w:line="276" w:lineRule="auto"/>
        <w:ind w:firstLine="567"/>
        <w:jc w:val="both"/>
      </w:pPr>
      <w:r>
        <w:t>1.6. Внутренний контроль совершаемых в учреждении фактов хозяйственной жизни регламентируется «Положением о внутреннем финансовом контроле», утвержденным Учетной политикой.</w:t>
      </w:r>
    </w:p>
    <w:p>
      <w:pPr>
        <w:spacing w:line="276" w:lineRule="auto"/>
        <w:ind w:firstLine="567"/>
        <w:jc w:val="both"/>
      </w:pPr>
      <w:r>
        <w:t>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pPr>
        <w:spacing w:line="276" w:lineRule="auto"/>
        <w:ind w:firstLine="567"/>
        <w:jc w:val="both"/>
      </w:pPr>
      <w:r>
        <w:t>Для обеспечения эффективности внутреннего контроля в Учреждении действует Комиссия по внутреннему финансовому контролю.</w:t>
      </w:r>
    </w:p>
    <w:p>
      <w:pPr>
        <w:spacing w:line="276" w:lineRule="auto"/>
        <w:ind w:firstLine="567"/>
        <w:jc w:val="both"/>
      </w:pPr>
      <w:r>
        <w:t xml:space="preserve">1.7.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pPr>
        <w:spacing w:line="276" w:lineRule="auto"/>
        <w:ind w:firstLine="567"/>
        <w:jc w:val="both"/>
      </w:pPr>
      <w:r>
        <w:t>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pPr>
        <w:spacing w:line="276" w:lineRule="auto"/>
        <w:ind w:firstLine="567"/>
        <w:jc w:val="both"/>
      </w:pPr>
      <w:r>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pPr>
        <w:spacing w:line="276" w:lineRule="auto"/>
        <w:ind w:firstLine="567"/>
        <w:jc w:val="both"/>
      </w:pPr>
      <w:r>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pPr>
        <w:spacing w:line="276" w:lineRule="auto"/>
        <w:ind w:firstLine="567"/>
        <w:jc w:val="both"/>
      </w:pPr>
      <w:r>
        <w:t xml:space="preserve">1.9. Учреждение публикует положения учетной политики на своем официальном сайте </w:t>
      </w:r>
      <w:r>
        <w:rPr>
          <w:highlight w:val="none"/>
        </w:rPr>
        <w:t>(https://ds</w:t>
      </w:r>
      <w:r>
        <w:rPr>
          <w:rFonts w:hint="default"/>
          <w:highlight w:val="none"/>
          <w:lang w:val="ru-RU"/>
        </w:rPr>
        <w:t>80</w:t>
      </w:r>
      <w:r>
        <w:rPr>
          <w:highlight w:val="none"/>
        </w:rPr>
        <w:t>-nizhnevartovsk-r86.gosweb.gosuslugi.ru/)</w:t>
      </w:r>
      <w:r>
        <w:t xml:space="preserve"> путем размещения обобщенной информации, содержащей основные положения Учетной политики учреждения.</w:t>
      </w:r>
    </w:p>
    <w:p>
      <w:pPr>
        <w:spacing w:line="276" w:lineRule="auto"/>
        <w:ind w:firstLine="567"/>
        <w:jc w:val="both"/>
      </w:pPr>
      <w:r>
        <w:t>1.10. Хозяйственные операции в бухгалтерском учете оформляются первичными документами, которые утверждены:</w:t>
      </w:r>
    </w:p>
    <w:p>
      <w:pPr>
        <w:numPr>
          <w:ilvl w:val="0"/>
          <w:numId w:val="6"/>
        </w:numPr>
        <w:spacing w:line="276" w:lineRule="auto"/>
        <w:jc w:val="both"/>
      </w:pPr>
      <w:r>
        <w:t xml:space="preserve">Приказами Минфина России № 52н, № 61н; </w:t>
      </w:r>
    </w:p>
    <w:p>
      <w:pPr>
        <w:numPr>
          <w:ilvl w:val="0"/>
          <w:numId w:val="6"/>
        </w:numPr>
        <w:spacing w:line="276" w:lineRule="auto"/>
        <w:jc w:val="both"/>
      </w:pPr>
      <w:r>
        <w:t>Иными нормативно-правовыми актами (при их отсутствии в Приказах Минфина России № 52н, № 61н);</w:t>
      </w:r>
    </w:p>
    <w:p>
      <w:pPr>
        <w:numPr>
          <w:ilvl w:val="0"/>
          <w:numId w:val="6"/>
        </w:numPr>
        <w:spacing w:line="276" w:lineRule="auto"/>
        <w:jc w:val="both"/>
      </w:pPr>
      <w:r>
        <w:t xml:space="preserve"> По формам, разработанным самостоятельно.</w:t>
      </w:r>
    </w:p>
    <w:p>
      <w:pPr>
        <w:spacing w:line="276" w:lineRule="auto"/>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pPr>
        <w:spacing w:line="276" w:lineRule="auto"/>
        <w:ind w:firstLine="567"/>
        <w:jc w:val="both"/>
      </w:pPr>
      <w:r>
        <w:t>- по унифицированным формам, утвержденным -</w:t>
      </w:r>
      <w:r>
        <w:tab/>
      </w:r>
      <w:r>
        <w:t>Приказами Минфина России № 52н, № 61н;</w:t>
      </w:r>
    </w:p>
    <w:p>
      <w:pPr>
        <w:spacing w:line="276" w:lineRule="auto"/>
        <w:ind w:firstLine="567"/>
        <w:jc w:val="both"/>
      </w:pPr>
      <w:r>
        <w:t>- по формам, разработанным самостоятельно.</w:t>
      </w:r>
    </w:p>
    <w:p>
      <w:pPr>
        <w:spacing w:line="276" w:lineRule="auto"/>
        <w:ind w:firstLine="567"/>
        <w:jc w:val="both"/>
        <w:rPr>
          <w:highlight w:val="none"/>
        </w:rPr>
      </w:pPr>
      <w:r>
        <w:t>Порядок формирования регистров бухгалтерского учета, первичных документов, установлен «Положением о формах и</w:t>
      </w:r>
      <w:r>
        <w:rPr>
          <w:highlight w:val="none"/>
        </w:rPr>
        <w:t xml:space="preserve"> порядке формирования регистров бухгалтерского учета, первичных документов, составленных на бумажном носителе и порядке их архивации порядке архивации» утвержденным Учетной политикой.</w:t>
      </w:r>
    </w:p>
    <w:p>
      <w:pPr>
        <w:spacing w:line="276" w:lineRule="auto"/>
        <w:ind w:firstLine="567"/>
        <w:jc w:val="both"/>
      </w:pPr>
      <w:bookmarkStart w:id="2" w:name="_Hlk95763298"/>
      <w:r>
        <w:rPr>
          <w:highlight w:val="none"/>
        </w:rPr>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w:t>
      </w:r>
      <w:r>
        <w:t>ооборота.</w:t>
      </w:r>
    </w:p>
    <w:p>
      <w:pPr>
        <w:spacing w:line="276" w:lineRule="auto"/>
        <w:ind w:firstLine="567"/>
        <w:jc w:val="both"/>
      </w:pPr>
      <w:r>
        <w:t>Список сотрудников, имеющих право подписи электронных документов и регистров бухгалтерского учета, утвержден Учетной политикой.</w:t>
      </w:r>
    </w:p>
    <w:p>
      <w:pPr>
        <w:spacing w:line="276" w:lineRule="auto"/>
        <w:ind w:firstLine="567"/>
        <w:jc w:val="both"/>
        <w:rPr>
          <w:highlight w:val="none"/>
        </w:rPr>
      </w:pPr>
      <w:r>
        <w:rPr>
          <w:highlight w:val="none"/>
        </w:rPr>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pPr>
        <w:spacing w:line="276" w:lineRule="auto"/>
        <w:ind w:firstLine="567"/>
        <w:jc w:val="both"/>
        <w:rPr>
          <w:highlight w:val="none"/>
        </w:rPr>
      </w:pPr>
      <w:r>
        <w:rPr>
          <w:highlight w:val="none"/>
        </w:rPr>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Pr>
          <w:bCs/>
          <w:highlight w:val="none"/>
        </w:rPr>
        <w:t>МА</w:t>
      </w:r>
      <w:r>
        <w:rPr>
          <w:bCs/>
          <w:highlight w:val="none"/>
          <w:lang w:val="ru-RU"/>
        </w:rPr>
        <w:t>ДО</w:t>
      </w:r>
      <w:r>
        <w:rPr>
          <w:bCs/>
          <w:highlight w:val="none"/>
        </w:rPr>
        <w:t>У</w:t>
      </w:r>
      <w:r>
        <w:rPr>
          <w:rFonts w:hint="default"/>
          <w:bCs/>
          <w:highlight w:val="none"/>
          <w:lang w:val="ru-RU"/>
        </w:rPr>
        <w:t xml:space="preserve"> города Нижневартовска ДС №80</w:t>
      </w:r>
      <w:r>
        <w:rPr>
          <w:bCs/>
          <w:highlight w:val="none"/>
        </w:rPr>
        <w:t xml:space="preserve"> «</w:t>
      </w:r>
      <w:r>
        <w:rPr>
          <w:bCs/>
          <w:highlight w:val="none"/>
          <w:lang w:val="ru-RU"/>
        </w:rPr>
        <w:t>Светлячок</w:t>
      </w:r>
      <w:r>
        <w:rPr>
          <w:bCs/>
          <w:highlight w:val="none"/>
        </w:rPr>
        <w:t>»</w:t>
      </w:r>
      <w:r>
        <w:rPr>
          <w:highlight w:val="none"/>
        </w:rPr>
        <w:t xml:space="preserve">, – с указанием сведений о сертификате электронной подписи – кому выдан и срок действия. </w:t>
      </w:r>
    </w:p>
    <w:p>
      <w:pPr>
        <w:spacing w:line="276" w:lineRule="auto"/>
        <w:ind w:firstLine="567"/>
        <w:jc w:val="both"/>
        <w:rPr>
          <w:highlight w:val="none"/>
        </w:rPr>
      </w:pPr>
      <w:r>
        <w:rPr>
          <w:highlight w:val="none"/>
        </w:rPr>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pPr>
        <w:spacing w:line="276" w:lineRule="auto"/>
        <w:ind w:firstLine="567"/>
        <w:jc w:val="both"/>
        <w:rPr>
          <w:highlight w:val="none"/>
        </w:rPr>
      </w:pPr>
      <w:r>
        <w:rPr>
          <w:highlight w:val="none"/>
        </w:rPr>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pPr>
        <w:spacing w:line="276" w:lineRule="auto"/>
        <w:ind w:firstLine="567"/>
        <w:jc w:val="both"/>
      </w:pPr>
      <w:r>
        <w:rPr>
          <w:highlight w:val="none"/>
        </w:rPr>
        <w:t>При отсутствии технической возможности формирования и хранения в виде электронных документов и ре</w:t>
      </w:r>
      <w:r>
        <w:t xml:space="preserve">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pPr>
        <w:spacing w:line="276" w:lineRule="auto"/>
        <w:ind w:firstLine="567"/>
        <w:jc w:val="both"/>
      </w:pPr>
      <w:r>
        <w:t>1.12. Бухгалтерская (финансовая) отчетность составляется по формам, в объеме и в сроки, установленные учредителем в соответствии с Инструкцией № 33н.</w:t>
      </w:r>
    </w:p>
    <w:p>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pPr>
        <w:spacing w:line="276" w:lineRule="auto"/>
        <w:ind w:firstLine="567"/>
        <w:jc w:val="both"/>
        <w:rPr>
          <w:bCs/>
        </w:rPr>
      </w:pPr>
      <w:r>
        <w:rPr>
          <w:bCs/>
        </w:rPr>
        <w:t xml:space="preserve">Признание событий после отчетной даты и отражение информации о них в отчетности осуществляется в соответствии с требованиями </w:t>
      </w:r>
      <w:r>
        <w:fldChar w:fldCharType="begin"/>
      </w:r>
      <w:r>
        <w:instrText xml:space="preserve"> HYPERLINK "https://cloud.consultant.ru/cloud/cgi/online.cgi?ref=9D8161AA42813FF2C5CEF20345109A18045E915A4D486592BF0D91A3DD55F1698951AD87C989255BD5FBE09DC1029A654393C4422B6702763792395C742FD69E8EDC4717EA615CE677B5d6R0M" </w:instrText>
      </w:r>
      <w:r>
        <w:fldChar w:fldCharType="separate"/>
      </w:r>
      <w:r>
        <w:rPr>
          <w:bCs/>
        </w:rPr>
        <w:t>СГС</w:t>
      </w:r>
      <w:r>
        <w:rPr>
          <w:bCs/>
        </w:rPr>
        <w:fldChar w:fldCharType="end"/>
      </w:r>
      <w:r>
        <w:rPr>
          <w:bCs/>
        </w:rPr>
        <w:t xml:space="preserve"> «События после отчетной даты».</w:t>
      </w:r>
    </w:p>
    <w:p>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pPr>
        <w:spacing w:line="276" w:lineRule="auto"/>
        <w:ind w:firstLine="567"/>
        <w:jc w:val="both"/>
      </w:pPr>
      <w:r>
        <w:t xml:space="preserve">1.13. Порядок и сроки передачи первичных (сводных) учетных документов для отражения в бухгалтерском учете устанавливаются в соответствии с «Графиком документооборота», утвержденным Учетной политикой. </w:t>
      </w:r>
    </w:p>
    <w:p>
      <w:pPr>
        <w:spacing w:line="276" w:lineRule="auto"/>
        <w:ind w:firstLine="567"/>
        <w:jc w:val="both"/>
        <w:rPr>
          <w:highlight w:val="none"/>
        </w:rPr>
      </w:pPr>
      <w:r>
        <w:rPr>
          <w:highlight w:val="none"/>
        </w:rPr>
        <w:t>Первичные документы составляют и передают в бухгалтерию лица, ответственные за оформление факта хозяйственной жизни.</w:t>
      </w:r>
    </w:p>
    <w:p>
      <w:pPr>
        <w:spacing w:line="276" w:lineRule="auto"/>
        <w:ind w:firstLine="567"/>
        <w:jc w:val="both"/>
        <w:rPr>
          <w:highlight w:val="none"/>
        </w:rPr>
      </w:pPr>
      <w:r>
        <w:rPr>
          <w:highlight w:val="none"/>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pPr>
        <w:spacing w:line="276" w:lineRule="auto"/>
        <w:ind w:firstLine="567"/>
        <w:jc w:val="both"/>
        <w:rPr>
          <w:color w:val="000000"/>
        </w:rPr>
      </w:pPr>
      <w:r>
        <w:rPr>
          <w:color w:val="000000"/>
          <w:highlight w:val="none"/>
        </w:rPr>
        <w:t>Допускается оформление одного</w:t>
      </w:r>
      <w:r>
        <w:rPr>
          <w:color w:val="000000"/>
        </w:rPr>
        <w:t xml:space="preserve"> первичного учетного документа при осуществлении нескольких взаимосвязанных между собой фактов хозяйственной жизни в следующих случаях:</w:t>
      </w:r>
    </w:p>
    <w:p>
      <w:pPr>
        <w:spacing w:line="276" w:lineRule="auto"/>
        <w:ind w:firstLine="567"/>
        <w:jc w:val="both"/>
        <w:rPr>
          <w:color w:val="000000"/>
        </w:rPr>
      </w:pPr>
      <w:r>
        <w:rPr>
          <w:color w:val="000000"/>
        </w:rPr>
        <w:t>- учет имущества;</w:t>
      </w:r>
    </w:p>
    <w:p>
      <w:pPr>
        <w:spacing w:line="276" w:lineRule="auto"/>
        <w:ind w:firstLine="567"/>
        <w:jc w:val="both"/>
        <w:rPr>
          <w:color w:val="000000"/>
        </w:rPr>
      </w:pPr>
      <w:r>
        <w:rPr>
          <w:color w:val="000000"/>
        </w:rPr>
        <w:t>- исправление ошибок.</w:t>
      </w:r>
    </w:p>
    <w:p>
      <w:pPr>
        <w:spacing w:line="276" w:lineRule="auto"/>
        <w:ind w:firstLine="567"/>
        <w:jc w:val="both"/>
        <w:rPr>
          <w:highlight w:val="none"/>
        </w:rPr>
      </w:pPr>
      <w:r>
        <w:rPr>
          <w:color w:val="000000"/>
        </w:rPr>
        <w:t xml:space="preserve">По длящимся и повторяющимся операциям документы оформляются с периодичностью один раз в </w:t>
      </w:r>
      <w:r>
        <w:rPr>
          <w:color w:val="000000"/>
          <w:highlight w:val="none"/>
        </w:rPr>
        <w:t>месяц.</w:t>
      </w:r>
    </w:p>
    <w:p>
      <w:pPr>
        <w:spacing w:line="276" w:lineRule="auto"/>
        <w:ind w:firstLine="567"/>
        <w:jc w:val="both"/>
      </w:pPr>
      <w:r>
        <w:t>1.14.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pPr>
        <w:spacing w:line="276" w:lineRule="auto"/>
        <w:ind w:firstLine="567"/>
        <w:jc w:val="both"/>
      </w:pPr>
      <w:r>
        <w:t>Бухгалтерская отчетность формируется и хранится в виде электронного документа в информационной системе  «</w:t>
      </w:r>
      <w:r>
        <w:rPr>
          <w:lang w:val="en-US"/>
        </w:rPr>
        <w:t>WEB</w:t>
      </w:r>
      <w:r>
        <w:t xml:space="preserve"> консолидация».</w:t>
      </w:r>
    </w:p>
    <w:p>
      <w:pPr>
        <w:spacing w:line="276" w:lineRule="auto"/>
        <w:ind w:firstLine="567"/>
        <w:jc w:val="both"/>
      </w:pPr>
      <w:r>
        <w:t>1.15. Достоверность данных учета и отчетности подтверждается путем инвентаризаций активов и обязательств, проводимых в соответствии с «Порядком проведения инвентаризации имущества, финансовых активов и обязательств», утвержденным Учетной политикой.</w:t>
      </w:r>
    </w:p>
    <w:p>
      <w:pPr>
        <w:spacing w:line="276" w:lineRule="auto"/>
        <w:ind w:firstLine="540"/>
        <w:jc w:val="both"/>
      </w:pPr>
      <w:r>
        <w:t xml:space="preserve">Для проведения инвентаризации в учреждении создается постоянно действующая </w:t>
      </w:r>
      <w:r>
        <w:br w:type="textWrapping"/>
      </w:r>
      <w:r>
        <w:t xml:space="preserve">инвентаризационная комиссия. </w:t>
      </w:r>
    </w:p>
    <w:p>
      <w:pPr>
        <w:spacing w:line="276" w:lineRule="auto"/>
        <w:ind w:firstLine="540"/>
        <w:jc w:val="both"/>
      </w:pPr>
      <w:r>
        <w:t xml:space="preserve">В отдельных случаях (при смене материально ответственных лиц, выявлении фактов </w:t>
      </w:r>
      <w:r>
        <w:br w:type="textWrapping"/>
      </w:r>
      <w:r>
        <w:t xml:space="preserve">хищения, стихийных бедствиях и т. д.) инвентаризацию может проводить специально </w:t>
      </w:r>
      <w:r>
        <w:br w:type="textWrapping"/>
      </w:r>
      <w:r>
        <w:t xml:space="preserve">созданная рабочая комиссия, состав которой утверждается отельным приказом </w:t>
      </w:r>
      <w:r>
        <w:br w:type="textWrapping"/>
      </w:r>
      <w:r>
        <w:t>руководителя учреждения.</w:t>
      </w:r>
    </w:p>
    <w:p>
      <w:pPr>
        <w:spacing w:line="276" w:lineRule="auto"/>
        <w:ind w:firstLine="540"/>
        <w:jc w:val="both"/>
      </w:pPr>
      <w:r>
        <w:t>Инвентаризация имущества и обязательств (в т. ч. числящихся на забалансовых счетах), а также финансовых результатов (в т. ч. расходов будущих периодов и резервов)  проводится не менее одного раза в год перед составлением годовой отчетности, а также в иных случаях, предусмотренных законодательством.</w:t>
      </w:r>
    </w:p>
    <w:p>
      <w:pPr>
        <w:spacing w:line="276" w:lineRule="auto"/>
        <w:ind w:firstLine="540"/>
        <w:jc w:val="both"/>
        <w:rPr>
          <w:rFonts w:ascii="Verdana" w:hAnsi="Verdana"/>
          <w:sz w:val="21"/>
          <w:szCs w:val="21"/>
        </w:rPr>
      </w:pPr>
      <w:r>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pPr>
        <w:spacing w:line="276" w:lineRule="auto"/>
        <w:ind w:firstLine="540"/>
        <w:jc w:val="both"/>
      </w:pPr>
      <w:r>
        <w:t xml:space="preserve">Сроки проведения плановых инвентаризаций установлены в Графике проведения </w:t>
      </w:r>
      <w:r>
        <w:br w:type="textWrapping"/>
      </w:r>
      <w:r>
        <w:t>инвентаризации.</w:t>
      </w:r>
    </w:p>
    <w:p>
      <w:pPr>
        <w:spacing w:line="276" w:lineRule="auto"/>
        <w:ind w:firstLine="567"/>
        <w:jc w:val="both"/>
      </w:pPr>
      <w:r>
        <w:t>1.16.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(далее - Комиссия), действующей в соответствии с «Положением о комиссии по поступлению и выбытию активов», утвержденным Учетной политикой.</w:t>
      </w:r>
    </w:p>
    <w:p>
      <w:pPr>
        <w:spacing w:line="276" w:lineRule="auto"/>
        <w:ind w:firstLine="567"/>
        <w:jc w:val="both"/>
      </w:pPr>
    </w:p>
    <w:p>
      <w:pPr>
        <w:spacing w:line="276" w:lineRule="auto"/>
        <w:ind w:firstLine="567"/>
        <w:jc w:val="center"/>
        <w:rPr>
          <w:b/>
        </w:rPr>
      </w:pPr>
      <w:r>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pPr>
        <w:spacing w:line="276" w:lineRule="auto"/>
        <w:ind w:firstLine="567"/>
        <w:jc w:val="center"/>
        <w:rPr>
          <w:b/>
        </w:rPr>
      </w:pPr>
    </w:p>
    <w:p>
      <w:pPr>
        <w:spacing w:line="276" w:lineRule="auto"/>
        <w:ind w:firstLine="567"/>
        <w:jc w:val="both"/>
        <w:rPr>
          <w:highlight w:val="none"/>
        </w:rPr>
      </w:pPr>
      <w:r>
        <w:t>2.1</w:t>
      </w:r>
      <w:r>
        <w:rPr>
          <w:highlight w:val="none"/>
        </w:rPr>
        <w:t>. Учет нефинансовых активов.</w:t>
      </w:r>
    </w:p>
    <w:p>
      <w:pPr>
        <w:spacing w:line="276" w:lineRule="auto"/>
        <w:ind w:firstLine="567"/>
        <w:jc w:val="both"/>
      </w:pPr>
      <w:r>
        <w:t>2.1.1. 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pPr>
        <w:spacing w:line="276" w:lineRule="auto"/>
        <w:ind w:firstLine="567"/>
        <w:jc w:val="both"/>
      </w:pPr>
      <w:r>
        <w:t>2.1.2. Первоначальную стоимость нефинансовых активов формировать в зависимости от направления их поступления:</w:t>
      </w:r>
    </w:p>
    <w:p>
      <w:pPr>
        <w:widowControl w:val="0"/>
        <w:numPr>
          <w:ilvl w:val="0"/>
          <w:numId w:val="7"/>
        </w:numPr>
        <w:autoSpaceDE w:val="0"/>
        <w:autoSpaceDN w:val="0"/>
        <w:adjustRightInd w:val="0"/>
        <w:spacing w:line="276" w:lineRule="auto"/>
        <w:jc w:val="both"/>
      </w:pPr>
      <w:r>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операций (п. 15 Стандарта «Основные средства»); Первоначальную стоимость материальных запасов формировать по фактическим вложениям, как для обменных операций (п. 19 Стандарта «Запасы»).</w:t>
      </w:r>
    </w:p>
    <w:p>
      <w:pPr>
        <w:widowControl w:val="0"/>
        <w:numPr>
          <w:ilvl w:val="0"/>
          <w:numId w:val="7"/>
        </w:numPr>
        <w:autoSpaceDE w:val="0"/>
        <w:autoSpaceDN w:val="0"/>
        <w:adjustRightInd w:val="0"/>
        <w:spacing w:line="276" w:lineRule="auto"/>
        <w:jc w:val="both"/>
      </w:pPr>
      <w:r>
        <w:t>Первоначальной (фактической) стоимостью нефинансовых активов, поступивших по договорам дарения, пожертвования от коммерческих организаций и граждан – признается на основании стоимости, указанной в передаточных документах (договорах, накладных, актах, и др.), а в случае их отсутствия, а так же оприходованных в виде излишков, выявленных при инвентаризации, признается их справедливая стоимость, определяемая Комиссией методом рыночных цен. Комиссия 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p>
    <w:p>
      <w:pPr>
        <w:widowControl w:val="0"/>
        <w:numPr>
          <w:ilvl w:val="0"/>
          <w:numId w:val="7"/>
        </w:numPr>
        <w:autoSpaceDE w:val="0"/>
        <w:autoSpaceDN w:val="0"/>
        <w:adjustRightInd w:val="0"/>
        <w:spacing w:line="276" w:lineRule="auto"/>
        <w:jc w:val="both"/>
      </w:pPr>
      <w:r>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p>
    <w:p>
      <w:pPr>
        <w:widowControl w:val="0"/>
        <w:autoSpaceDE w:val="0"/>
        <w:autoSpaceDN w:val="0"/>
        <w:adjustRightInd w:val="0"/>
        <w:spacing w:line="276" w:lineRule="auto"/>
        <w:ind w:firstLine="567"/>
        <w:jc w:val="both"/>
      </w:pPr>
      <w:r>
        <w:t>При определении первоначальной стоимости нескольких имущественных объектов расходы на доставку (установку, монтаж) распределять пропорционально стоимости каждого доставляемого (устанавливаемого, монтируемого) объекта в их общей стоимости.</w:t>
      </w:r>
    </w:p>
    <w:p>
      <w:pPr>
        <w:widowControl w:val="0"/>
        <w:autoSpaceDE w:val="0"/>
        <w:autoSpaceDN w:val="0"/>
        <w:adjustRightInd w:val="0"/>
        <w:spacing w:line="276" w:lineRule="auto"/>
        <w:ind w:firstLine="567"/>
        <w:jc w:val="both"/>
      </w:pPr>
      <w:r>
        <w:t>2.1.3. Принятие решений по вопросам обесценения активов.</w:t>
      </w:r>
    </w:p>
    <w:p>
      <w:pPr>
        <w:ind w:firstLine="540"/>
        <w:jc w:val="both"/>
        <w:rPr>
          <w:rFonts w:ascii="Verdana" w:hAnsi="Verdana"/>
          <w:sz w:val="21"/>
          <w:szCs w:val="21"/>
        </w:rPr>
      </w:pPr>
      <w:r>
        <w:t xml:space="preserve">Учреждение осуществляет процедуры обесценения активов (при необходимости) в соответствии с требованиями </w:t>
      </w:r>
      <w:r>
        <w:fldChar w:fldCharType="begin"/>
      </w:r>
      <w:r>
        <w:instrText xml:space="preserve"> HYPERLINK "https://login.consultant.ru/link/?req=doc&amp;base=RZB&amp;n=216120&amp;rnd=6716074521C0CFA9AC3C86FC3E8E1958&amp;dst=100011&amp;fld=134" </w:instrText>
      </w:r>
      <w:r>
        <w:fldChar w:fldCharType="separate"/>
      </w:r>
      <w:r>
        <w:t>СГС</w:t>
      </w:r>
      <w:r>
        <w:fldChar w:fldCharType="end"/>
      </w:r>
      <w:r>
        <w:t xml:space="preserve"> "Обесценение активов".</w:t>
      </w:r>
    </w:p>
    <w:p>
      <w:pPr>
        <w:widowControl w:val="0"/>
        <w:autoSpaceDE w:val="0"/>
        <w:autoSpaceDN w:val="0"/>
        <w:adjustRightInd w:val="0"/>
        <w:spacing w:line="276" w:lineRule="auto"/>
        <w:ind w:firstLine="567"/>
        <w:jc w:val="both"/>
      </w:pPr>
      <w:r>
        <w:t>Тест на обесценение проводит Инвентаризационная комиссия во время годовой инвентаризации имущества, выявляя признаки обесценения каждого актива индивидуально.</w:t>
      </w:r>
    </w:p>
    <w:p>
      <w:pPr>
        <w:widowControl w:val="0"/>
        <w:autoSpaceDE w:val="0"/>
        <w:autoSpaceDN w:val="0"/>
        <w:adjustRightInd w:val="0"/>
        <w:spacing w:line="276" w:lineRule="auto"/>
        <w:ind w:firstLine="567"/>
        <w:jc w:val="both"/>
      </w:pPr>
      <w:r>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pPr>
        <w:widowControl w:val="0"/>
        <w:autoSpaceDE w:val="0"/>
        <w:autoSpaceDN w:val="0"/>
        <w:adjustRightInd w:val="0"/>
        <w:spacing w:line="276" w:lineRule="auto"/>
        <w:ind w:firstLine="567"/>
        <w:jc w:val="both"/>
      </w:pPr>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pPr>
        <w:widowControl w:val="0"/>
        <w:autoSpaceDE w:val="0"/>
        <w:autoSpaceDN w:val="0"/>
        <w:adjustRightInd w:val="0"/>
        <w:spacing w:line="276" w:lineRule="auto"/>
        <w:ind w:firstLine="567"/>
        <w:jc w:val="both"/>
      </w:pPr>
      <w:r>
        <w:t>В случае если предлагается решение о проведении оценки, также указывается оптимальный метод определения справедливой стоимости актива.</w:t>
      </w:r>
    </w:p>
    <w:p>
      <w:pPr>
        <w:spacing w:line="276" w:lineRule="auto"/>
        <w:ind w:firstLine="567"/>
        <w:jc w:val="both"/>
      </w:pPr>
      <w:r>
        <w:t xml:space="preserve">Убыток от обесценения актива признается в учете на основании Бухгалтерской справки (ф. 0504833) и приказа руководителя. </w:t>
      </w:r>
    </w:p>
    <w:p>
      <w:pPr>
        <w:spacing w:line="276" w:lineRule="auto"/>
        <w:ind w:firstLine="567"/>
        <w:jc w:val="both"/>
      </w:pPr>
      <w:r>
        <w:t>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учредителя (иным собственником имущества), в порядке, предусмотренном на согласование списания основных средств.</w:t>
      </w:r>
    </w:p>
    <w:p>
      <w:pPr>
        <w:spacing w:line="276" w:lineRule="auto"/>
        <w:ind w:firstLine="567"/>
        <w:jc w:val="both"/>
      </w:pPr>
      <w:r>
        <w:t xml:space="preserve">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 </w:t>
      </w:r>
    </w:p>
    <w:p>
      <w:pPr>
        <w:spacing w:line="276" w:lineRule="auto"/>
        <w:ind w:firstLine="567"/>
        <w:jc w:val="both"/>
        <w:rPr>
          <w:bCs/>
        </w:rPr>
      </w:pPr>
      <w:r>
        <w:t xml:space="preserve">2.1.5. </w:t>
      </w:r>
      <w:r>
        <w:rPr>
          <w:bCs/>
        </w:rPr>
        <w:t>Материальные ценности учреждения, не соответствующие критериям активов учитывать на счете 02 «Материальные ценности на хранение» в условной оценке: один объект, один рубль, списание осуществлять на основании Бухгалтерской справки (ф. 0504833), Акта об утилизации (уничтожении) материальных ценностей (ф. 0510435).</w:t>
      </w:r>
    </w:p>
    <w:p>
      <w:pPr>
        <w:autoSpaceDE w:val="0"/>
        <w:autoSpaceDN w:val="0"/>
        <w:adjustRightInd w:val="0"/>
        <w:spacing w:line="276" w:lineRule="auto"/>
        <w:ind w:firstLine="567"/>
        <w:jc w:val="both"/>
        <w:outlineLvl w:val="0"/>
        <w:rPr>
          <w:bCs/>
        </w:rPr>
      </w:pPr>
      <w:r>
        <w:rPr>
          <w:bCs/>
        </w:rPr>
        <w:t>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pPr>
        <w:spacing w:line="276" w:lineRule="auto"/>
        <w:ind w:firstLine="567"/>
        <w:jc w:val="both"/>
        <w:rPr>
          <w:highlight w:val="none"/>
        </w:rPr>
      </w:pPr>
      <w:r>
        <w:t xml:space="preserve">2.1.6. </w:t>
      </w:r>
      <w:r>
        <w:rPr>
          <w:highlight w:val="none"/>
        </w:rPr>
        <w:t>Учет основных средств.</w:t>
      </w:r>
    </w:p>
    <w:p>
      <w:pPr>
        <w:spacing w:line="276" w:lineRule="auto"/>
        <w:ind w:firstLine="567"/>
        <w:jc w:val="both"/>
        <w:rPr>
          <w:highlight w:val="none"/>
        </w:rPr>
      </w:pPr>
      <w:r>
        <w:rPr>
          <w:highlight w:val="none"/>
        </w:rPr>
        <w:t>Единицей учета основных средств является инвентарный объект.</w:t>
      </w:r>
    </w:p>
    <w:p>
      <w:pPr>
        <w:tabs>
          <w:tab w:val="left" w:pos="644"/>
        </w:tabs>
        <w:spacing w:line="276" w:lineRule="auto"/>
        <w:ind w:firstLine="567"/>
        <w:jc w:val="both"/>
        <w:rPr>
          <w:highlight w:val="none"/>
        </w:rPr>
      </w:pPr>
      <w:r>
        <w:rPr>
          <w:highlight w:val="none"/>
        </w:rPr>
        <w:t>Объекты основных средств учреждения не объединять в комплекс объектов основных средств.</w:t>
      </w:r>
    </w:p>
    <w:p>
      <w:pPr>
        <w:tabs>
          <w:tab w:val="left" w:pos="644"/>
        </w:tabs>
        <w:spacing w:line="276" w:lineRule="auto"/>
        <w:ind w:firstLine="567"/>
        <w:jc w:val="both"/>
        <w:rPr>
          <w:highlight w:val="none"/>
        </w:rPr>
      </w:pPr>
      <w:bookmarkStart w:id="3" w:name="_Hlk95763209"/>
      <w:bookmarkStart w:id="4" w:name="_Hlk95746219"/>
      <w:bookmarkStart w:id="5" w:name="_Hlk95919242"/>
      <w:r>
        <w:rPr>
          <w:highlight w:val="none"/>
        </w:rPr>
        <w:t>Составные (структурные) части объекта основных средств</w:t>
      </w:r>
      <w:bookmarkEnd w:id="3"/>
      <w:r>
        <w:rPr>
          <w:highlight w:val="none"/>
        </w:rPr>
        <w:t xml:space="preserve">, выполняющие свои функции только в составе объекта основных средств,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Pr>
          <w:highlight w:val="none"/>
        </w:rPr>
        <w:t xml:space="preserve"> </w:t>
      </w:r>
    </w:p>
    <w:p>
      <w:pPr>
        <w:tabs>
          <w:tab w:val="left" w:pos="644"/>
        </w:tabs>
        <w:spacing w:line="276" w:lineRule="auto"/>
        <w:ind w:firstLine="567"/>
        <w:jc w:val="both"/>
      </w:pPr>
      <w:r>
        <w:rPr>
          <w:highlight w:val="none"/>
        </w:rPr>
        <w:t>Сроки полезного использования составных частей объе</w:t>
      </w:r>
      <w:r>
        <w:t>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 утвержденной постановлением Правительства от 01.01.2002 №1.</w:t>
      </w:r>
    </w:p>
    <w:p>
      <w:pPr>
        <w:tabs>
          <w:tab w:val="left" w:pos="644"/>
        </w:tabs>
        <w:spacing w:line="276" w:lineRule="auto"/>
        <w:ind w:firstLine="567"/>
        <w:jc w:val="both"/>
      </w:pPr>
      <w:r>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pPr>
        <w:tabs>
          <w:tab w:val="left" w:pos="644"/>
        </w:tabs>
        <w:spacing w:line="276" w:lineRule="auto"/>
        <w:ind w:firstLine="567"/>
        <w:jc w:val="both"/>
      </w:pPr>
      <w:r>
        <w:rPr>
          <w:highlight w:val="none"/>
        </w:rPr>
        <w:t xml:space="preserve">Каждому объекту недвижимого, а также движимого имущества стоимостью </w:t>
      </w:r>
      <w:r>
        <w:rPr>
          <w:highlight w:val="none"/>
          <w:lang w:val="ru-RU"/>
        </w:rPr>
        <w:t>от</w:t>
      </w:r>
      <w:r>
        <w:rPr>
          <w:highlight w:val="none"/>
        </w:rPr>
        <w:t xml:space="preserve"> 10 000 рублей, присваивается уникальный инвентарный номер, со</w:t>
      </w:r>
      <w:r>
        <w:t>стоящий из пятнадцати знаков.</w:t>
      </w:r>
    </w:p>
    <w:p>
      <w:pPr>
        <w:tabs>
          <w:tab w:val="left" w:pos="644"/>
        </w:tabs>
        <w:spacing w:line="276" w:lineRule="auto"/>
        <w:ind w:firstLine="567"/>
        <w:jc w:val="both"/>
      </w:pPr>
      <w:r>
        <w:t>Установить следующую структуру инвентарного номера основного средства:</w:t>
      </w:r>
    </w:p>
    <w:p>
      <w:pPr>
        <w:numPr>
          <w:ilvl w:val="0"/>
          <w:numId w:val="8"/>
        </w:numPr>
        <w:autoSpaceDE w:val="0"/>
        <w:autoSpaceDN w:val="0"/>
        <w:adjustRightInd w:val="0"/>
        <w:spacing w:line="276" w:lineRule="auto"/>
        <w:ind w:left="851"/>
        <w:jc w:val="both"/>
        <w:rPr>
          <w:i/>
        </w:rPr>
      </w:pPr>
      <w:r>
        <w:t>Х (один знак) – код источника финансирования</w:t>
      </w:r>
      <w:r>
        <w:rPr>
          <w:i/>
        </w:rPr>
        <w:t>;</w:t>
      </w:r>
    </w:p>
    <w:p>
      <w:pPr>
        <w:numPr>
          <w:ilvl w:val="0"/>
          <w:numId w:val="8"/>
        </w:numPr>
        <w:autoSpaceDE w:val="0"/>
        <w:autoSpaceDN w:val="0"/>
        <w:adjustRightInd w:val="0"/>
        <w:spacing w:line="276" w:lineRule="auto"/>
        <w:ind w:left="851"/>
        <w:jc w:val="both"/>
      </w:pPr>
      <w:r>
        <w:t>XXХ (три знака)- код синтетического счета плана счетов;</w:t>
      </w:r>
    </w:p>
    <w:p>
      <w:pPr>
        <w:numPr>
          <w:ilvl w:val="0"/>
          <w:numId w:val="8"/>
        </w:numPr>
        <w:autoSpaceDE w:val="0"/>
        <w:autoSpaceDN w:val="0"/>
        <w:adjustRightInd w:val="0"/>
        <w:spacing w:line="276" w:lineRule="auto"/>
        <w:ind w:left="851"/>
        <w:jc w:val="both"/>
      </w:pPr>
      <w:r>
        <w:t>XX (два знака)- код аналитического счета плана счетов;</w:t>
      </w:r>
    </w:p>
    <w:p>
      <w:pPr>
        <w:numPr>
          <w:ilvl w:val="0"/>
          <w:numId w:val="8"/>
        </w:numPr>
        <w:autoSpaceDE w:val="0"/>
        <w:autoSpaceDN w:val="0"/>
        <w:adjustRightInd w:val="0"/>
        <w:spacing w:line="276" w:lineRule="auto"/>
        <w:ind w:left="851"/>
        <w:jc w:val="both"/>
      </w:pPr>
      <w:r>
        <w:t>XXXХXХХХХ (девять знаков) - порядковый номер.</w:t>
      </w:r>
    </w:p>
    <w:p>
      <w:pPr>
        <w:autoSpaceDE w:val="0"/>
        <w:autoSpaceDN w:val="0"/>
        <w:adjustRightInd w:val="0"/>
        <w:spacing w:line="276" w:lineRule="auto"/>
        <w:ind w:firstLine="567"/>
        <w:jc w:val="both"/>
        <w:rPr>
          <w:i/>
        </w:rPr>
      </w:pPr>
      <w:r>
        <w:t>Инвентарные номера наносятся несмываемой краской или водостойким маркером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Pr>
          <w:bCs/>
        </w:rPr>
        <w:t xml:space="preserve">Изменение порядка формирования инвентарных номеров </w:t>
      </w:r>
      <w:bookmarkEnd w:id="6"/>
      <w:r>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pPr>
        <w:widowControl w:val="0"/>
        <w:autoSpaceDE w:val="0"/>
        <w:autoSpaceDN w:val="0"/>
        <w:adjustRightInd w:val="0"/>
        <w:spacing w:line="276" w:lineRule="auto"/>
        <w:ind w:firstLine="567"/>
        <w:jc w:val="both"/>
        <w:rPr>
          <w:bCs/>
        </w:rPr>
      </w:pPr>
      <w:r>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pPr>
        <w:widowControl w:val="0"/>
        <w:autoSpaceDE w:val="0"/>
        <w:autoSpaceDN w:val="0"/>
        <w:adjustRightInd w:val="0"/>
        <w:spacing w:line="276" w:lineRule="auto"/>
        <w:ind w:firstLine="567"/>
        <w:jc w:val="both"/>
      </w:pPr>
      <w:r>
        <w:t>Правила п. 27, 28 СГС «Основные средства» не применяются к объектам основных средств Учреждения.</w:t>
      </w:r>
    </w:p>
    <w:p>
      <w:pPr>
        <w:widowControl w:val="0"/>
        <w:autoSpaceDE w:val="0"/>
        <w:autoSpaceDN w:val="0"/>
        <w:adjustRightInd w:val="0"/>
        <w:spacing w:line="276" w:lineRule="auto"/>
        <w:ind w:firstLine="567"/>
        <w:jc w:val="both"/>
      </w:pPr>
      <w:r>
        <w:t>Срок полезного использования объектов основных средств устанавливается Комиссией в соответствии с п. 35 СГС «Основные средства» в порядке, установленном в «Положении о комиссии по поступлению и выбытию активов» исходя из ожидаемого срока получения экономических выгод и (или) полезного потенциала, заключенного в активе.</w:t>
      </w:r>
    </w:p>
    <w:p>
      <w:pPr>
        <w:widowControl w:val="0"/>
        <w:autoSpaceDE w:val="0"/>
        <w:autoSpaceDN w:val="0"/>
        <w:adjustRightInd w:val="0"/>
        <w:spacing w:line="276" w:lineRule="auto"/>
        <w:ind w:firstLine="540"/>
        <w:jc w:val="both"/>
        <w:rPr>
          <w:bCs/>
        </w:rPr>
      </w:pPr>
      <w:bookmarkStart w:id="9" w:name="_ref_321664"/>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такому объекту Комиссией пересматривается.</w:t>
      </w:r>
    </w:p>
    <w:p>
      <w:pPr>
        <w:widowControl w:val="0"/>
        <w:autoSpaceDE w:val="0"/>
        <w:autoSpaceDN w:val="0"/>
        <w:adjustRightInd w:val="0"/>
        <w:spacing w:line="276" w:lineRule="auto"/>
        <w:ind w:firstLine="540"/>
        <w:jc w:val="both"/>
        <w:rPr>
          <w:bCs/>
        </w:rPr>
      </w:pPr>
      <w:r>
        <w:rPr>
          <w:bCs/>
        </w:rPr>
        <w:t xml:space="preserve">Амортизация по всем основным средствам начисляется </w:t>
      </w:r>
      <w:r>
        <w:rPr>
          <w:bCs/>
          <w:highlight w:val="none"/>
        </w:rPr>
        <w:t>линейным методом.</w:t>
      </w:r>
      <w:bookmarkEnd w:id="9"/>
    </w:p>
    <w:p>
      <w:pPr>
        <w:tabs>
          <w:tab w:val="left" w:pos="644"/>
        </w:tabs>
        <w:spacing w:line="276" w:lineRule="auto"/>
        <w:ind w:firstLine="567"/>
        <w:jc w:val="both"/>
      </w:pPr>
      <w: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pPr>
        <w:tabs>
          <w:tab w:val="left" w:pos="644"/>
        </w:tabs>
        <w:spacing w:line="276" w:lineRule="auto"/>
        <w:ind w:firstLine="567"/>
        <w:jc w:val="both"/>
      </w:pPr>
      <w: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pPr>
        <w:tabs>
          <w:tab w:val="left" w:pos="644"/>
        </w:tabs>
        <w:spacing w:line="276" w:lineRule="auto"/>
        <w:ind w:firstLine="567"/>
        <w:jc w:val="both"/>
      </w:pPr>
      <w: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pPr>
        <w:widowControl w:val="0"/>
        <w:autoSpaceDE w:val="0"/>
        <w:autoSpaceDN w:val="0"/>
        <w:adjustRightInd w:val="0"/>
        <w:spacing w:line="276" w:lineRule="auto"/>
        <w:ind w:firstLine="540"/>
        <w:jc w:val="both"/>
        <w:rPr>
          <w:highlight w:val="none"/>
        </w:rPr>
      </w:pPr>
      <w:r>
        <w:t>Основные средства стоимостью до 10 000 рублей принимать к учету на забалансовый счет 21 «Основные средства в эксплуатации»</w:t>
      </w:r>
      <w:r>
        <w:rPr>
          <w:highlight w:val="none"/>
        </w:rPr>
        <w:t xml:space="preserve"> по балансовой стоимости введенного в эксплуатацию объекта.</w:t>
      </w:r>
    </w:p>
    <w:p>
      <w:pPr>
        <w:spacing w:line="276" w:lineRule="auto"/>
        <w:ind w:firstLine="567"/>
        <w:jc w:val="both"/>
        <w:rPr>
          <w:bCs/>
        </w:rPr>
      </w:pPr>
      <w:r>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pPr>
        <w:widowControl w:val="0"/>
        <w:autoSpaceDE w:val="0"/>
        <w:autoSpaceDN w:val="0"/>
        <w:adjustRightInd w:val="0"/>
        <w:spacing w:line="276" w:lineRule="auto"/>
        <w:ind w:firstLine="540"/>
        <w:jc w:val="both"/>
      </w:pPr>
      <w:r>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t xml:space="preserve"> переводится с кодов вида деятельности "2" и "5" на код вида деятельности "4".</w:t>
      </w:r>
    </w:p>
    <w:p>
      <w:pPr>
        <w:spacing w:line="276" w:lineRule="auto"/>
        <w:ind w:firstLine="567"/>
        <w:jc w:val="both"/>
        <w:rPr>
          <w:bCs/>
        </w:rPr>
      </w:pPr>
      <w:r>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 </w:t>
      </w:r>
    </w:p>
    <w:p>
      <w:pPr>
        <w:spacing w:line="276" w:lineRule="auto"/>
        <w:ind w:firstLine="567"/>
        <w:jc w:val="both"/>
        <w:rPr>
          <w:bCs/>
        </w:rPr>
      </w:pPr>
      <w:r>
        <w:rPr>
          <w:bCs/>
        </w:rPr>
        <w:t xml:space="preserve">Ответственными за хранение технической документации основных средств являются </w:t>
      </w:r>
      <w:r>
        <w:rPr>
          <w:bCs/>
          <w:highlight w:val="none"/>
        </w:rPr>
        <w:t>ответственные лица</w:t>
      </w:r>
      <w:r>
        <w:rPr>
          <w:bCs/>
        </w:rPr>
        <w:t xml:space="preserve">, за которыми закреплены основные средства. </w:t>
      </w:r>
      <w:bookmarkStart w:id="10" w:name="_Hlk95919432"/>
      <w:bookmarkStart w:id="11" w:name="_Hlk95763572"/>
      <w:r>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pPr>
        <w:spacing w:line="276" w:lineRule="auto"/>
        <w:ind w:firstLine="567"/>
        <w:jc w:val="both"/>
        <w:rPr>
          <w:bCs/>
          <w:highlight w:val="none"/>
        </w:rPr>
      </w:pPr>
      <w:r>
        <w:rPr>
          <w:bCs/>
        </w:rPr>
        <w:t xml:space="preserve">Лица, ответственные за сохранность нефинансовых активов и их использование по назначению (ответственные лица), определяются </w:t>
      </w:r>
      <w:r>
        <w:rPr>
          <w:bCs/>
          <w:highlight w:val="none"/>
        </w:rPr>
        <w:t>должностными инструкциями</w:t>
      </w:r>
      <w:bookmarkEnd w:id="10"/>
      <w:r>
        <w:rPr>
          <w:rFonts w:hint="default"/>
          <w:bCs/>
          <w:highlight w:val="none"/>
          <w:lang w:val="ru-RU"/>
        </w:rPr>
        <w:t xml:space="preserve"> и</w:t>
      </w:r>
      <w:r>
        <w:rPr>
          <w:highlight w:val="none"/>
        </w:rPr>
        <w:t xml:space="preserve"> в соответствии </w:t>
      </w:r>
      <w:r>
        <w:rPr>
          <w:bCs/>
          <w:highlight w:val="none"/>
        </w:rPr>
        <w:t>с договором о материальной ответственности.</w:t>
      </w:r>
    </w:p>
    <w:bookmarkEnd w:id="11"/>
    <w:p>
      <w:pPr>
        <w:spacing w:line="276" w:lineRule="auto"/>
        <w:ind w:firstLine="567"/>
        <w:jc w:val="both"/>
        <w:rPr>
          <w:bCs/>
        </w:rPr>
      </w:pPr>
      <w:r>
        <w:rPr>
          <w:bCs/>
        </w:rPr>
        <w:t xml:space="preserve">Локально-вычислительная сеть (ЛВС) и охранно-пожарная сигнализация (ОПС) как отдельные инвентарные объекты не учитываются. </w:t>
      </w:r>
    </w:p>
    <w:p>
      <w:pPr>
        <w:spacing w:line="276" w:lineRule="auto"/>
        <w:ind w:firstLine="567"/>
        <w:jc w:val="both"/>
        <w:rPr>
          <w:bCs/>
        </w:rPr>
      </w:pPr>
      <w:r>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pPr>
        <w:spacing w:line="276" w:lineRule="auto"/>
        <w:ind w:firstLine="567"/>
        <w:jc w:val="both"/>
        <w:rPr>
          <w:bCs/>
        </w:rPr>
      </w:pPr>
      <w:r>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политики.</w:t>
      </w:r>
    </w:p>
    <w:p>
      <w:pPr>
        <w:spacing w:line="276" w:lineRule="auto"/>
        <w:ind w:firstLine="567"/>
        <w:jc w:val="both"/>
      </w:pPr>
      <w:r>
        <w:t>Имущество, относящееся к категории особо ценного имущества (ОЦИ), определяет Комиссия.</w:t>
      </w:r>
    </w:p>
    <w:p>
      <w:pPr>
        <w:spacing w:line="276" w:lineRule="auto"/>
        <w:ind w:firstLine="567"/>
        <w:jc w:val="both"/>
        <w:rPr>
          <w:highlight w:val="none"/>
        </w:rPr>
      </w:pPr>
      <w:r>
        <w:t xml:space="preserve">Принятие решений об отнесении поступившего имущества к ОЦИ осуществляется в соответствии </w:t>
      </w:r>
      <w:r>
        <w:rPr>
          <w:highlight w:val="none"/>
        </w:rPr>
        <w:t>с Перечнем особо ценного движимого имущества, утвержденным органом, осуществляющим в отношении учреждения функции и полномочия учредителя.</w:t>
      </w:r>
    </w:p>
    <w:p>
      <w:pPr>
        <w:spacing w:line="276" w:lineRule="auto"/>
        <w:ind w:firstLine="567"/>
        <w:jc w:val="both"/>
      </w:pPr>
      <w:r>
        <w:t>Счет 4 210 06 000 отражает балансовую стоимость особо ценного имущества, закрепленного на праве оперативного управления.</w:t>
      </w:r>
    </w:p>
    <w:p>
      <w:pPr>
        <w:spacing w:line="276" w:lineRule="auto"/>
        <w:ind w:firstLine="567"/>
        <w:jc w:val="both"/>
      </w:pPr>
      <w:r>
        <w:t xml:space="preserve">На сумму изменений показателя учредителю направляется извещение ф.0504805 один  раз в год при составлении годовой бухгалтерской отчетности. </w:t>
      </w:r>
    </w:p>
    <w:p>
      <w:pPr>
        <w:spacing w:line="276" w:lineRule="auto"/>
        <w:ind w:firstLine="567"/>
        <w:jc w:val="both"/>
      </w:pPr>
      <w:r>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pPr>
        <w:spacing w:line="276" w:lineRule="auto"/>
        <w:ind w:firstLine="567"/>
        <w:jc w:val="both"/>
        <w:rPr>
          <w:bCs/>
        </w:rPr>
      </w:pPr>
      <w:r>
        <w:rPr>
          <w:highlight w:val="none"/>
        </w:rPr>
        <w:t>Переоценку основных средств п</w:t>
      </w:r>
      <w:r>
        <w:t>роизводить в сроки и в порядке, устанавливаемые Правительством РФ, а так же в случае отчуждения активов не в пользу организаций госсектора.</w:t>
      </w:r>
    </w:p>
    <w:p>
      <w:pPr>
        <w:spacing w:line="276" w:lineRule="auto"/>
        <w:ind w:firstLine="567"/>
        <w:jc w:val="both"/>
      </w:pPr>
      <w:r>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pPr>
        <w:ind w:firstLine="540"/>
        <w:jc w:val="both"/>
      </w:pPr>
      <w:r>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(разукомплектации) определяет Комиссия в соответствии с «Порядком определения стоимости при частичной ликвидации (разукомплектации) объектов основных средств установлен», утвержденным Учетной политикой.</w:t>
      </w:r>
    </w:p>
    <w:p>
      <w:pPr>
        <w:spacing w:after="120" w:line="300" w:lineRule="atLeast"/>
        <w:ind w:firstLine="567"/>
        <w:jc w:val="both"/>
        <w:rPr>
          <w:color w:val="000000"/>
        </w:rPr>
      </w:pPr>
      <w:r>
        <w:t xml:space="preserve"> </w:t>
      </w:r>
      <w:r>
        <w:rPr>
          <w:color w:val="000000"/>
        </w:rPr>
        <w:t>Если возможно определить первоначальную стоимость ликвидированной части основного средства по учетным данным сумму амортизационных отчислений, приходящихся на ликвидированную часть, рассчитать по формуле:</w:t>
      </w:r>
    </w:p>
    <w:tbl>
      <w:tblPr>
        <w:tblStyle w:val="12"/>
        <w:tblW w:w="0" w:type="auto"/>
        <w:jc w:val="center"/>
        <w:tblLayout w:type="autofit"/>
        <w:tblCellMar>
          <w:top w:w="15" w:type="dxa"/>
          <w:left w:w="15" w:type="dxa"/>
          <w:bottom w:w="15" w:type="dxa"/>
          <w:right w:w="15" w:type="dxa"/>
        </w:tblCellMar>
      </w:tblPr>
      <w:tblGrid>
        <w:gridCol w:w="2781"/>
        <w:gridCol w:w="316"/>
        <w:gridCol w:w="2135"/>
        <w:gridCol w:w="247"/>
        <w:gridCol w:w="1823"/>
        <w:gridCol w:w="316"/>
        <w:gridCol w:w="2200"/>
      </w:tblGrid>
      <w:tr>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vAlign w:val="center"/>
          </w:tcPr>
          <w:p>
            <w:pPr>
              <w:jc w:val="center"/>
            </w:pPr>
            <w:r>
              <w:t>Амортизационные отчисления, приходящиеся на ликвидированную часть основного средства</w:t>
            </w:r>
          </w:p>
        </w:tc>
        <w:tc>
          <w:tcPr>
            <w:tcW w:w="0" w:type="auto"/>
            <w:tcBorders>
              <w:left w:val="single" w:color="000000" w:sz="6" w:space="0"/>
              <w:right w:val="single" w:color="000000" w:sz="6" w:space="0"/>
            </w:tcBorders>
            <w:tcMar>
              <w:top w:w="90" w:type="dxa"/>
              <w:left w:w="90" w:type="dxa"/>
              <w:bottom w:w="90" w:type="dxa"/>
              <w:right w:w="90" w:type="dxa"/>
            </w:tcMar>
            <w:vAlign w:val="center"/>
          </w:tcPr>
          <w:p>
            <w:pPr>
              <w:jc w:val="center"/>
            </w:pPr>
            <w:r>
              <w:t>=</w:t>
            </w:r>
          </w:p>
        </w:tc>
        <w:tc>
          <w:tcPr>
            <w:tcW w:w="0" w:type="auto"/>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vAlign w:val="center"/>
          </w:tcPr>
          <w:p>
            <w:pPr>
              <w:jc w:val="center"/>
            </w:pPr>
            <w:r>
              <w:t>Первоначальная стоимость ликвидированной части основного средства</w:t>
            </w:r>
          </w:p>
        </w:tc>
        <w:tc>
          <w:tcPr>
            <w:tcW w:w="0" w:type="auto"/>
            <w:tcBorders>
              <w:left w:val="single" w:color="000000" w:sz="6" w:space="0"/>
              <w:right w:val="single" w:color="000000" w:sz="6" w:space="0"/>
            </w:tcBorders>
            <w:tcMar>
              <w:top w:w="90" w:type="dxa"/>
              <w:left w:w="90" w:type="dxa"/>
              <w:bottom w:w="90" w:type="dxa"/>
              <w:right w:w="90" w:type="dxa"/>
            </w:tcMar>
            <w:vAlign w:val="center"/>
          </w:tcPr>
          <w:p>
            <w:pPr>
              <w:jc w:val="center"/>
            </w:pPr>
            <w:r>
              <w:t>:</w:t>
            </w:r>
          </w:p>
        </w:tc>
        <w:tc>
          <w:tcPr>
            <w:tcW w:w="0" w:type="auto"/>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vAlign w:val="center"/>
          </w:tcPr>
          <w:p>
            <w:pPr>
              <w:jc w:val="center"/>
            </w:pPr>
            <w:r>
              <w:t>Первоначальная стоимость всего основного средства</w:t>
            </w:r>
          </w:p>
        </w:tc>
        <w:tc>
          <w:tcPr>
            <w:tcW w:w="0" w:type="auto"/>
            <w:tcBorders>
              <w:left w:val="single" w:color="000000" w:sz="6" w:space="0"/>
              <w:right w:val="single" w:color="000000" w:sz="6" w:space="0"/>
            </w:tcBorders>
            <w:tcMar>
              <w:top w:w="90" w:type="dxa"/>
              <w:left w:w="90" w:type="dxa"/>
              <w:bottom w:w="90" w:type="dxa"/>
              <w:right w:w="90" w:type="dxa"/>
            </w:tcMar>
            <w:vAlign w:val="center"/>
          </w:tcPr>
          <w:p>
            <w:pPr>
              <w:jc w:val="center"/>
            </w:pPr>
            <w:r>
              <w:t>×</w:t>
            </w:r>
          </w:p>
        </w:tc>
        <w:tc>
          <w:tcPr>
            <w:tcW w:w="0" w:type="auto"/>
            <w:tcBorders>
              <w:top w:val="single" w:color="000000" w:sz="6" w:space="0"/>
              <w:left w:val="single" w:color="000000" w:sz="6" w:space="0"/>
              <w:bottom w:val="single" w:color="000000" w:sz="6" w:space="0"/>
              <w:right w:val="single" w:color="000000" w:sz="6" w:space="0"/>
            </w:tcBorders>
            <w:tcMar>
              <w:top w:w="90" w:type="dxa"/>
              <w:left w:w="90" w:type="dxa"/>
              <w:bottom w:w="90" w:type="dxa"/>
              <w:right w:w="90" w:type="dxa"/>
            </w:tcMar>
            <w:vAlign w:val="center"/>
          </w:tcPr>
          <w:p>
            <w:pPr>
              <w:jc w:val="center"/>
            </w:pPr>
            <w:r>
              <w:t>Начисленная амортизация на момент окончания ликвидации</w:t>
            </w:r>
          </w:p>
        </w:tc>
      </w:tr>
    </w:tbl>
    <w:p>
      <w:pPr>
        <w:spacing w:after="200" w:line="276" w:lineRule="auto"/>
        <w:ind w:firstLine="567"/>
        <w:contextualSpacing/>
        <w:jc w:val="both"/>
        <w:rPr>
          <w:bCs/>
        </w:rPr>
      </w:pPr>
      <w:r>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Pr>
          <w:rFonts w:eastAsia="Calibri"/>
          <w:lang w:eastAsia="en-US"/>
        </w:rPr>
        <w:t xml:space="preserve"> </w:t>
      </w:r>
      <w:r>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pPr>
        <w:ind w:firstLine="567"/>
        <w:jc w:val="both"/>
      </w:pPr>
      <w:r>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pPr>
        <w:spacing w:line="276" w:lineRule="auto"/>
        <w:ind w:firstLine="567"/>
        <w:jc w:val="both"/>
      </w:pPr>
      <w:r>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pPr>
        <w:spacing w:line="276" w:lineRule="auto"/>
        <w:ind w:firstLine="567"/>
        <w:jc w:val="both"/>
        <w:rPr>
          <w:shd w:val="clear" w:color="auto" w:fill="FFFFFF"/>
        </w:rPr>
      </w:pPr>
      <w:r>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pPr>
        <w:spacing w:line="276" w:lineRule="auto"/>
        <w:ind w:firstLine="567"/>
        <w:jc w:val="both"/>
      </w:pPr>
      <w: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pPr>
        <w:spacing w:line="276" w:lineRule="auto"/>
        <w:ind w:firstLine="567"/>
        <w:jc w:val="both"/>
        <w:rPr>
          <w:shd w:val="clear" w:color="auto" w:fill="FFFFFF"/>
        </w:rPr>
      </w:pPr>
      <w: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pPr>
        <w:spacing w:line="276" w:lineRule="auto"/>
        <w:ind w:firstLine="567"/>
        <w:jc w:val="both"/>
        <w:rPr>
          <w:shd w:val="clear" w:color="auto" w:fill="FFFFFF"/>
        </w:rPr>
      </w:pPr>
      <w:r>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r>
        <w:fldChar w:fldCharType="begin"/>
      </w:r>
      <w:r>
        <w:instrText xml:space="preserve"> HYPERLINK "https://internet.garant.ru/" \l "/document/71153994/entry/0" </w:instrText>
      </w:r>
      <w:r>
        <w:fldChar w:fldCharType="separate"/>
      </w:r>
      <w:r>
        <w:t>ОКОФ</w:t>
      </w:r>
      <w:r>
        <w:fldChar w:fldCharType="end"/>
      </w:r>
      <w:r>
        <w:t>, счет учета, нормативный и оставшийся срок полезного использования.</w:t>
      </w:r>
    </w:p>
    <w:p>
      <w:pPr>
        <w:widowControl w:val="0"/>
        <w:autoSpaceDE w:val="0"/>
        <w:autoSpaceDN w:val="0"/>
        <w:adjustRightInd w:val="0"/>
        <w:spacing w:line="276" w:lineRule="auto"/>
        <w:ind w:firstLine="567"/>
        <w:jc w:val="both"/>
      </w:pPr>
      <w: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pPr>
        <w:widowControl w:val="0"/>
        <w:autoSpaceDE w:val="0"/>
        <w:autoSpaceDN w:val="0"/>
        <w:adjustRightInd w:val="0"/>
        <w:spacing w:line="276" w:lineRule="auto"/>
        <w:ind w:firstLine="567"/>
        <w:jc w:val="both"/>
        <w:rPr>
          <w:highlight w:val="none"/>
        </w:rPr>
      </w:pPr>
      <w:r>
        <w:t>2.1.7.</w:t>
      </w:r>
      <w:r>
        <w:rPr>
          <w:highlight w:val="none"/>
        </w:rPr>
        <w:t xml:space="preserve"> Учет материальных запасов.</w:t>
      </w:r>
    </w:p>
    <w:p>
      <w:pPr>
        <w:widowControl w:val="0"/>
        <w:autoSpaceDE w:val="0"/>
        <w:autoSpaceDN w:val="0"/>
        <w:adjustRightInd w:val="0"/>
        <w:spacing w:line="276" w:lineRule="auto"/>
        <w:ind w:firstLine="567"/>
        <w:jc w:val="both"/>
        <w:rPr>
          <w:highlight w:val="none"/>
        </w:rPr>
      </w:pPr>
      <w:r>
        <w:rPr>
          <w:highlight w:val="none"/>
        </w:rPr>
        <w:t>Единицей бухгалтерского учета материальных запасов является: номенклатурная (реестровая) единица.</w:t>
      </w:r>
    </w:p>
    <w:p>
      <w:pPr>
        <w:widowControl w:val="0"/>
        <w:autoSpaceDE w:val="0"/>
        <w:autoSpaceDN w:val="0"/>
        <w:adjustRightInd w:val="0"/>
        <w:spacing w:line="276" w:lineRule="auto"/>
        <w:ind w:firstLine="567"/>
        <w:jc w:val="both"/>
        <w:rPr>
          <w:highlight w:val="none"/>
        </w:rPr>
      </w:pPr>
      <w:r>
        <w:rPr>
          <w:highlight w:val="none"/>
        </w:rPr>
        <w:t>Выбытие (отпуск) материальных запасов производить  по средней фактической стоимости.</w:t>
      </w:r>
    </w:p>
    <w:p>
      <w:pPr>
        <w:spacing w:line="276" w:lineRule="auto"/>
        <w:ind w:firstLine="567"/>
        <w:jc w:val="both"/>
        <w:rPr>
          <w:szCs w:val="28"/>
        </w:rPr>
      </w:pPr>
      <w:r>
        <w:rPr>
          <w:szCs w:val="28"/>
          <w:highlight w:val="none"/>
        </w:rPr>
        <w:t>Для целей учета по счету 27 «</w:t>
      </w:r>
      <w:r>
        <w:rPr>
          <w:szCs w:val="28"/>
        </w:rPr>
        <w:t>Материальные ценности, выданные в личное пользование работникам (сотрудникам)» личным пользованием для выполнения</w:t>
      </w:r>
      <w:r>
        <w:t xml:space="preserve"> </w:t>
      </w:r>
      <w:r>
        <w:rPr>
          <w:szCs w:val="28"/>
        </w:rPr>
        <w:t>служебных (должностных) обязанностей считать: специальная одежду, специальную обувь); имущество (объекты основных средств), подлежащее выдаче в связи с выполнением должностных обязанностей.</w:t>
      </w:r>
    </w:p>
    <w:p>
      <w:pPr>
        <w:spacing w:line="276" w:lineRule="auto"/>
        <w:ind w:firstLine="567"/>
        <w:jc w:val="both"/>
        <w:rPr>
          <w:szCs w:val="28"/>
        </w:rPr>
      </w:pPr>
      <w:r>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pPr>
        <w:numPr>
          <w:ilvl w:val="0"/>
          <w:numId w:val="9"/>
        </w:numPr>
        <w:spacing w:line="276" w:lineRule="auto"/>
        <w:jc w:val="both"/>
        <w:rPr>
          <w:szCs w:val="28"/>
        </w:rPr>
      </w:pPr>
      <w:r>
        <w:rPr>
          <w:szCs w:val="28"/>
        </w:rPr>
        <w:t>их справедливой стоимости на дату принятия к бухгалтерскому учету, рассчитанной методом рыночных цен;</w:t>
      </w:r>
    </w:p>
    <w:p>
      <w:pPr>
        <w:numPr>
          <w:ilvl w:val="0"/>
          <w:numId w:val="9"/>
        </w:numPr>
        <w:spacing w:line="276" w:lineRule="auto"/>
        <w:jc w:val="both"/>
        <w:rPr>
          <w:szCs w:val="28"/>
        </w:rPr>
      </w:pPr>
      <w:r>
        <w:rPr>
          <w:szCs w:val="28"/>
        </w:rPr>
        <w:t>сумм, уплачиваемых учреждением за доставку материальных запасов, приведение их в состояние, пригодное для использования.</w:t>
      </w:r>
    </w:p>
    <w:p>
      <w:pPr>
        <w:spacing w:line="276" w:lineRule="auto"/>
        <w:ind w:firstLine="567"/>
        <w:jc w:val="both"/>
      </w:pPr>
      <w:r>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pPr>
        <w:spacing w:line="276" w:lineRule="auto"/>
        <w:ind w:firstLine="567"/>
        <w:jc w:val="both"/>
        <w:rPr>
          <w:szCs w:val="28"/>
          <w:highlight w:val="none"/>
        </w:rPr>
      </w:pPr>
      <w:r>
        <w:rPr>
          <w:szCs w:val="28"/>
        </w:rPr>
        <w:t>2.2</w:t>
      </w:r>
      <w:r>
        <w:rPr>
          <w:szCs w:val="28"/>
          <w:highlight w:val="none"/>
        </w:rPr>
        <w:t>. Учет непроизведенных активов.</w:t>
      </w:r>
    </w:p>
    <w:p>
      <w:pPr>
        <w:spacing w:line="276" w:lineRule="auto"/>
        <w:ind w:firstLine="567"/>
        <w:jc w:val="both"/>
        <w:rPr>
          <w:szCs w:val="28"/>
          <w:highlight w:val="none"/>
        </w:rPr>
      </w:pPr>
      <w:r>
        <w:rPr>
          <w:szCs w:val="28"/>
          <w:highlight w:val="none"/>
        </w:rPr>
        <w:t>Земельные участки, закрепленные за учреждением на праве безвозмездного (бессрочного) пользования, учитываются в составе непроизведенных активов по кадастровой стоимости.</w:t>
      </w:r>
    </w:p>
    <w:p>
      <w:pPr>
        <w:spacing w:line="276" w:lineRule="auto"/>
        <w:ind w:firstLine="567"/>
        <w:jc w:val="both"/>
        <w:rPr>
          <w:szCs w:val="28"/>
          <w:highlight w:val="none"/>
        </w:rPr>
      </w:pPr>
      <w:r>
        <w:rPr>
          <w:szCs w:val="28"/>
          <w:highlight w:val="none"/>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Pr>
          <w:highlight w:val="none"/>
        </w:rPr>
        <w:t xml:space="preserve"> </w:t>
      </w:r>
      <w:r>
        <w:rPr>
          <w:szCs w:val="28"/>
          <w:highlight w:val="none"/>
        </w:rPr>
        <w:t>Если выявлено изменение кадастровой стоимости, в учете отражается изменение стоимости земельного участка - объекта непроизведенных активов.</w:t>
      </w:r>
    </w:p>
    <w:p>
      <w:pPr>
        <w:spacing w:line="276" w:lineRule="auto"/>
        <w:ind w:firstLine="567"/>
        <w:jc w:val="both"/>
        <w:rPr>
          <w:bCs/>
          <w:highlight w:val="none"/>
        </w:rPr>
      </w:pPr>
      <w:r>
        <w:rPr>
          <w:bCs/>
          <w:highlight w:val="none"/>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pPr>
        <w:numPr>
          <w:ilvl w:val="1"/>
          <w:numId w:val="0"/>
        </w:numPr>
        <w:spacing w:line="276" w:lineRule="auto"/>
        <w:ind w:firstLine="482"/>
        <w:jc w:val="both"/>
        <w:outlineLvl w:val="1"/>
        <w:rPr>
          <w:bCs/>
          <w:highlight w:val="none"/>
        </w:rPr>
      </w:pPr>
      <w:r>
        <w:rPr>
          <w:bCs/>
          <w:highlight w:val="none"/>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w:t>
      </w:r>
    </w:p>
    <w:p>
      <w:pPr>
        <w:widowControl w:val="0"/>
        <w:autoSpaceDE w:val="0"/>
        <w:autoSpaceDN w:val="0"/>
        <w:adjustRightInd w:val="0"/>
        <w:spacing w:line="276" w:lineRule="auto"/>
        <w:ind w:firstLine="567"/>
        <w:jc w:val="both"/>
        <w:rPr>
          <w:highlight w:val="none"/>
        </w:rPr>
      </w:pPr>
      <w:r>
        <w:rPr>
          <w:highlight w:val="none"/>
        </w:rPr>
        <w:t>2.3. Учет нематериальных активов.</w:t>
      </w:r>
    </w:p>
    <w:p>
      <w:pPr>
        <w:widowControl w:val="0"/>
        <w:autoSpaceDE w:val="0"/>
        <w:autoSpaceDN w:val="0"/>
        <w:adjustRightInd w:val="0"/>
        <w:spacing w:line="276" w:lineRule="auto"/>
        <w:ind w:firstLine="567"/>
        <w:jc w:val="both"/>
        <w:rPr>
          <w:bCs/>
        </w:rPr>
      </w:pPr>
      <w:r>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так же неисключительные права пользования. </w:t>
      </w:r>
    </w:p>
    <w:p>
      <w:pPr>
        <w:spacing w:line="276" w:lineRule="auto"/>
        <w:ind w:firstLine="567"/>
        <w:jc w:val="both"/>
        <w:outlineLvl w:val="1"/>
        <w:rPr>
          <w:bCs/>
          <w:highlight w:val="none"/>
        </w:rPr>
      </w:pPr>
      <w:r>
        <w:rPr>
          <w:bCs/>
        </w:rPr>
        <w:t>Аналитический учет НМА ведется по наименованиям и материально ответственным лица</w:t>
      </w:r>
      <w:r>
        <w:rPr>
          <w:bCs/>
          <w:highlight w:val="none"/>
        </w:rPr>
        <w:t>м. С дополнительной детализацией на объекты с определенным сроком полезного использования и с неопределенным.</w:t>
      </w:r>
    </w:p>
    <w:p>
      <w:pPr>
        <w:widowControl w:val="0"/>
        <w:autoSpaceDE w:val="0"/>
        <w:autoSpaceDN w:val="0"/>
        <w:adjustRightInd w:val="0"/>
        <w:spacing w:line="276" w:lineRule="auto"/>
        <w:ind w:firstLine="567"/>
        <w:jc w:val="both"/>
      </w:pPr>
      <w:r>
        <w:rPr>
          <w:bCs/>
        </w:rPr>
        <w:t xml:space="preserve">Инвентарный номер НМА состоит из </w:t>
      </w:r>
      <w:r>
        <w:rPr>
          <w:bCs/>
          <w:lang w:val="ru-RU"/>
        </w:rPr>
        <w:t>пятнадцати</w:t>
      </w:r>
      <w:r>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pPr>
        <w:tabs>
          <w:tab w:val="left" w:pos="644"/>
        </w:tabs>
        <w:spacing w:line="276" w:lineRule="auto"/>
        <w:ind w:firstLine="567"/>
        <w:jc w:val="both"/>
      </w:pPr>
      <w:r>
        <w:t>На все объекты НМА амортизация начисляется линейным методом в соответствии со сроками полезного использования.</w:t>
      </w:r>
    </w:p>
    <w:p>
      <w:pPr>
        <w:spacing w:line="276" w:lineRule="auto"/>
        <w:ind w:firstLine="567"/>
        <w:jc w:val="both"/>
        <w:outlineLvl w:val="1"/>
        <w:rPr>
          <w:bCs/>
          <w:highlight w:val="yellow"/>
        </w:rPr>
      </w:pPr>
      <w:r>
        <w:rPr>
          <w:rFonts w:ascii="Times New Roman CYR" w:hAnsi="Times New Roman CYR" w:cs="Times New Roman CYR"/>
        </w:rPr>
        <w:t>Возможность установления срока полезного использования по объектам, входящим в подгруппу «НМА с неопределенным сроком полезного использования», оценивается при проведении ежегодной инвентаризации в целях составления бухгалтерской отчетности в срок не позднее 31 декабря.</w:t>
      </w:r>
    </w:p>
    <w:p>
      <w:pPr>
        <w:widowControl w:val="0"/>
        <w:autoSpaceDE w:val="0"/>
        <w:autoSpaceDN w:val="0"/>
        <w:adjustRightInd w:val="0"/>
        <w:spacing w:line="276" w:lineRule="auto"/>
        <w:ind w:firstLine="567"/>
        <w:jc w:val="both"/>
        <w:rPr>
          <w:highlight w:val="none"/>
        </w:rPr>
      </w:pPr>
      <w:r>
        <w:t xml:space="preserve">2.4. </w:t>
      </w:r>
      <w:r>
        <w:rPr>
          <w:highlight w:val="none"/>
        </w:rPr>
        <w:t>Учет затрат и калькулирование себестоимости выполненных услуг, работ, готовой продукции.</w:t>
      </w:r>
    </w:p>
    <w:p>
      <w:pPr>
        <w:widowControl w:val="0"/>
        <w:autoSpaceDE w:val="0"/>
        <w:autoSpaceDN w:val="0"/>
        <w:adjustRightInd w:val="0"/>
        <w:spacing w:line="276" w:lineRule="auto"/>
        <w:ind w:firstLine="567"/>
        <w:jc w:val="both"/>
        <w:rPr>
          <w:highlight w:val="none"/>
        </w:rPr>
      </w:pPr>
      <w:r>
        <w:rPr>
          <w:highlight w:val="none"/>
        </w:rPr>
        <w:t>Затраты учреждения при изготовлении готовой продукции, выполнении работ, оказании услуг делятся на прямые и</w:t>
      </w:r>
      <w:r>
        <w:rPr>
          <w:highlight w:val="none"/>
        </w:rPr>
        <w:t xml:space="preserve"> накладные, общехозяйственные.</w:t>
      </w:r>
    </w:p>
    <w:p>
      <w:pPr>
        <w:spacing w:line="276" w:lineRule="auto"/>
        <w:ind w:firstLine="567"/>
        <w:jc w:val="both"/>
        <w:rPr>
          <w:highlight w:val="none"/>
        </w:rPr>
      </w:pPr>
      <w:r>
        <w:rPr>
          <w:highlight w:val="none"/>
        </w:rPr>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pPr>
        <w:spacing w:line="276" w:lineRule="auto"/>
        <w:ind w:firstLine="567"/>
        <w:jc w:val="both"/>
        <w:rPr>
          <w:highlight w:val="none"/>
        </w:rPr>
      </w:pPr>
      <w:r>
        <w:rPr>
          <w:highlight w:val="none"/>
        </w:rPr>
        <w:t>Накладными расходами признаются расходы, которые непосредственно не связаны с оказанием услуг, производством продукции, однако осуществлены для обеспечения оказания услуг, производства продукции.</w:t>
      </w:r>
    </w:p>
    <w:p>
      <w:pPr>
        <w:spacing w:line="276" w:lineRule="auto"/>
        <w:ind w:firstLine="567"/>
        <w:jc w:val="both"/>
        <w:rPr>
          <w:highlight w:val="none"/>
        </w:rPr>
      </w:pPr>
      <w:r>
        <w:rPr>
          <w:highlight w:val="none"/>
        </w:rPr>
        <w:t>Общехозяйственными признаются расходы, которые не связаны с оказанием услуг, производством продукции и осуществлены для обеспечения функционирования учреждения в целом как хозяйствующего субъекта.</w:t>
      </w:r>
    </w:p>
    <w:p>
      <w:pPr>
        <w:numPr>
          <w:ilvl w:val="0"/>
          <w:numId w:val="10"/>
        </w:numPr>
        <w:spacing w:line="276" w:lineRule="auto"/>
        <w:ind w:left="600" w:leftChars="0" w:firstLineChars="0"/>
        <w:jc w:val="both"/>
        <w:rPr>
          <w:highlight w:val="none"/>
        </w:rPr>
      </w:pPr>
      <w:r>
        <w:rPr>
          <w:highlight w:val="none"/>
        </w:rPr>
        <w:t>Аналитический учет по счету 0 109 61 "Себестоимость готовой продукции, работ, услуг"</w:t>
      </w:r>
    </w:p>
    <w:p>
      <w:pPr>
        <w:spacing w:line="276" w:lineRule="auto"/>
        <w:ind w:firstLine="567"/>
        <w:jc w:val="both"/>
        <w:rPr>
          <w:highlight w:val="none"/>
        </w:rPr>
      </w:pPr>
      <w:r>
        <w:rPr>
          <w:highlight w:val="none"/>
        </w:rPr>
        <w:t>Общехозяйственные расходы  учитывать на счете  109 81 000 "Общехозяйственные расходы".</w:t>
      </w:r>
    </w:p>
    <w:p>
      <w:pPr>
        <w:spacing w:line="276" w:lineRule="auto"/>
        <w:ind w:firstLine="567"/>
        <w:jc w:val="both"/>
        <w:rPr>
          <w:highlight w:val="none"/>
        </w:rPr>
      </w:pPr>
      <w:r>
        <w:rPr>
          <w:highlight w:val="none"/>
        </w:rPr>
        <w:t>Установить, что общехозяйственные расходы, формирующие себестоимость оказываемых услуг, ежемесячно в последний день месяца относятся на уменьшение финансового результата текущего финансового года - в  дебет счета 401 10 100 «Доходы текущего финансового года».</w:t>
      </w:r>
    </w:p>
    <w:p>
      <w:pPr>
        <w:spacing w:line="276" w:lineRule="auto"/>
        <w:ind w:firstLine="567"/>
        <w:jc w:val="both"/>
        <w:rPr>
          <w:highlight w:val="none"/>
        </w:rPr>
      </w:pPr>
      <w:r>
        <w:rPr>
          <w:highlight w:val="none"/>
        </w:rPr>
        <w:t>Установить, что фактическую себестоимость услуг, работ определять</w:t>
      </w:r>
      <w:r>
        <w:rPr>
          <w:highlight w:val="none"/>
        </w:rPr>
        <w:t xml:space="preserve"> ежемесячно и полностью закрывать на финансовый результат в последний день месяца и относить в дебет счета 0 401 10 131.</w:t>
      </w:r>
    </w:p>
    <w:p>
      <w:pPr>
        <w:autoSpaceDE w:val="0"/>
        <w:autoSpaceDN w:val="0"/>
        <w:adjustRightInd w:val="0"/>
        <w:spacing w:line="276" w:lineRule="auto"/>
        <w:ind w:firstLine="567"/>
        <w:jc w:val="both"/>
        <w:rPr>
          <w:highlight w:val="none"/>
        </w:rPr>
      </w:pPr>
      <w:r>
        <w:rPr>
          <w:highlight w:val="none"/>
        </w:rPr>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pPr>
        <w:spacing w:line="276" w:lineRule="auto"/>
        <w:ind w:firstLine="567"/>
        <w:jc w:val="both"/>
        <w:rPr>
          <w:highlight w:val="none"/>
        </w:rPr>
      </w:pPr>
      <w:r>
        <w:rPr>
          <w:highlight w:val="none"/>
        </w:rPr>
        <w:t>2.5. Учет финансовых активов.</w:t>
      </w:r>
    </w:p>
    <w:p>
      <w:pPr>
        <w:spacing w:line="276" w:lineRule="auto"/>
        <w:ind w:firstLine="567"/>
        <w:jc w:val="both"/>
        <w:rPr>
          <w:highlight w:val="none"/>
        </w:rPr>
      </w:pPr>
      <w:r>
        <w:rPr>
          <w:highlight w:val="none"/>
        </w:rPr>
        <w:t>Учреждение не осуществляет кассовые операции.</w:t>
      </w:r>
    </w:p>
    <w:p>
      <w:pPr>
        <w:spacing w:line="276" w:lineRule="auto"/>
        <w:ind w:firstLine="567"/>
        <w:jc w:val="both"/>
        <w:rPr>
          <w:highlight w:val="none"/>
        </w:rPr>
      </w:pPr>
      <w:r>
        <w:rPr>
          <w:highlight w:val="none"/>
        </w:rPr>
        <w:t>Порядок и размер возмещения расходов, связанных со служебными командировками, устанавливаются в соответствии с Положением о служебных командировках, утвержденным Учетной политикой.</w:t>
      </w:r>
    </w:p>
    <w:p>
      <w:pPr>
        <w:widowControl w:val="0"/>
        <w:overflowPunct w:val="0"/>
        <w:autoSpaceDE w:val="0"/>
        <w:autoSpaceDN w:val="0"/>
        <w:adjustRightInd w:val="0"/>
        <w:spacing w:line="276" w:lineRule="auto"/>
        <w:ind w:firstLine="540"/>
        <w:jc w:val="both"/>
        <w:textAlignment w:val="baseline"/>
        <w:rPr>
          <w:highlight w:val="none"/>
        </w:rPr>
      </w:pPr>
      <w:r>
        <w:rPr>
          <w:highlight w:val="none"/>
        </w:rPr>
        <w:t>При направлении в однодневные командировки по территории РФ суточные не выплачиваются.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pPr>
        <w:widowControl w:val="0"/>
        <w:overflowPunct w:val="0"/>
        <w:autoSpaceDE w:val="0"/>
        <w:autoSpaceDN w:val="0"/>
        <w:adjustRightInd w:val="0"/>
        <w:spacing w:line="276" w:lineRule="auto"/>
        <w:ind w:firstLine="540"/>
        <w:jc w:val="both"/>
        <w:textAlignment w:val="baseline"/>
        <w:rPr>
          <w:highlight w:val="none"/>
        </w:rPr>
      </w:pPr>
      <w:r>
        <w:rPr>
          <w:highlight w:val="none"/>
        </w:rP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Учетной политикой.</w:t>
      </w:r>
    </w:p>
    <w:p>
      <w:pPr>
        <w:ind w:firstLine="540"/>
        <w:jc w:val="both"/>
        <w:rPr>
          <w:rFonts w:ascii="Verdana" w:hAnsi="Verdana"/>
          <w:sz w:val="21"/>
          <w:szCs w:val="21"/>
          <w:highlight w:val="none"/>
        </w:rPr>
      </w:pPr>
      <w:r>
        <w:rPr>
          <w:highlight w:val="none"/>
        </w:rPr>
        <w:t>2.6. Расчеты с дебиторами и кредиторами.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highlight w:val="none"/>
        </w:rPr>
      </w:pPr>
      <w:r>
        <w:rPr>
          <w:highlight w:val="none"/>
        </w:rPr>
        <w:t>Аналитический учет расчетов с поставщиками (подрядчиками) ведется в разрезе кредиторов. Аналитический учет расчетов с плательщиками по доходам ве</w:t>
      </w:r>
      <w:r>
        <w:rPr>
          <w:highlight w:val="none"/>
        </w:rPr>
        <w:t>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Камин».</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highlight w:val="none"/>
        </w:rPr>
      </w:pPr>
      <w:r>
        <w:rPr>
          <w:highlight w:val="none"/>
        </w:rPr>
        <w:t>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«Положении о признании дебиторской задолженности сомнительной и безнадежной к взысканию», утвержденном Учетной политикой.</w:t>
      </w:r>
    </w:p>
    <w:p>
      <w:pPr>
        <w:numPr>
          <w:ilvl w:val="1"/>
          <w:numId w:val="0"/>
        </w:numPr>
        <w:spacing w:line="276" w:lineRule="auto"/>
        <w:ind w:firstLine="482"/>
        <w:jc w:val="both"/>
        <w:outlineLvl w:val="1"/>
        <w:rPr>
          <w:bCs/>
          <w:highlight w:val="none"/>
        </w:rPr>
      </w:pPr>
      <w:bookmarkStart w:id="12" w:name="_ref_877325"/>
      <w:r>
        <w:rPr>
          <w:bCs/>
          <w:highlight w:val="none"/>
        </w:rPr>
        <w:t>Дебиторская задолженность списывается с учета после того, как Комиссия признает ее сомнительной или безнадежной к взысканию.</w:t>
      </w:r>
    </w:p>
    <w:bookmarkEnd w:id="12"/>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Pr>
          <w:highlight w:val="none"/>
        </w:rPr>
        <w:t>Кредиторская задолженность, не востребованная кредит</w:t>
      </w:r>
      <w:r>
        <w:t>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Списание задолженности с забалансового учета осуществляется по итогам инвентаризации задолженности:</w:t>
      </w:r>
    </w:p>
    <w:p>
      <w:pPr>
        <w:pStyle w:val="2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 xml:space="preserve">по истечении </w:t>
      </w:r>
      <w:r>
        <w:rPr>
          <w:rStyle w:val="41"/>
          <w:b w:val="0"/>
          <w:i w:val="0"/>
          <w:color w:val="auto"/>
        </w:rPr>
        <w:t>пяти</w:t>
      </w:r>
      <w:r>
        <w:t xml:space="preserve"> лет отражения задолженности на забалансовом учете;</w:t>
      </w:r>
    </w:p>
    <w:p>
      <w:pPr>
        <w:pStyle w:val="2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по завершении срока возможного возобновления процедуры взыскания задолженности согласно действующему законодательству;</w:t>
      </w:r>
    </w:p>
    <w:p>
      <w:pPr>
        <w:pStyle w:val="2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pPr>
        <w:spacing w:line="276" w:lineRule="auto"/>
        <w:ind w:firstLine="567"/>
        <w:jc w:val="both"/>
      </w:pPr>
      <w:bookmarkStart w:id="13" w:name="_Hlk95919546"/>
      <w:r>
        <w:rPr>
          <w:color w:val="000000"/>
        </w:rPr>
        <w:t>Комиссия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w:t>
      </w:r>
      <w:bookmarkStart w:id="14" w:name="_GoBack"/>
      <w:r>
        <w:rPr>
          <w:color w:val="000000"/>
          <w:highlight w:val="none"/>
        </w:rPr>
        <w:t>ации (ф. 0510463) и данн</w:t>
      </w:r>
      <w:bookmarkEnd w:id="14"/>
      <w:r>
        <w:rPr>
          <w:color w:val="000000"/>
        </w:rPr>
        <w:t>ых соответствующих инвентаризационных описей. Решение комиссии оформляется в 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3"/>
    </w:p>
    <w:p>
      <w:pPr>
        <w:spacing w:line="276" w:lineRule="auto"/>
        <w:ind w:firstLine="567"/>
        <w:jc w:val="both"/>
      </w:pPr>
      <w:r>
        <w:t>Оценку ущерба от недостач, хищений, порчи определять по справедливой стоимости материальных ценностей, определенной комиссией по поступлению и выбытию активов методом рыночных цен на день его обнаружения.</w:t>
      </w:r>
    </w:p>
    <w:p>
      <w:pPr>
        <w:pStyle w:val="26"/>
        <w:spacing w:before="0" w:beforeAutospacing="0" w:after="0" w:afterAutospacing="0" w:line="276" w:lineRule="auto"/>
        <w:ind w:firstLine="567"/>
        <w:jc w:val="both"/>
        <w:rPr>
          <w:highlight w:val="none"/>
        </w:rPr>
      </w:pPr>
      <w:r>
        <w:rPr>
          <w:highlight w:val="none"/>
        </w:rPr>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29 числа текущего месяца проводить сверку расчетов с данными единого налогового счета (далее – ЕНС).</w:t>
      </w:r>
    </w:p>
    <w:p>
      <w:pPr>
        <w:pStyle w:val="39"/>
        <w:autoSpaceDE w:val="0"/>
        <w:autoSpaceDN w:val="0"/>
        <w:adjustRightInd w:val="0"/>
        <w:spacing w:line="276" w:lineRule="auto"/>
        <w:ind w:left="0" w:firstLine="567"/>
        <w:contextualSpacing/>
        <w:jc w:val="both"/>
        <w:rPr>
          <w:rFonts w:eastAsia="Arial"/>
          <w:color w:val="000000"/>
        </w:rPr>
      </w:pPr>
      <w:r>
        <w:rPr>
          <w:rFonts w:eastAsia="Arial"/>
          <w:color w:val="000000"/>
          <w:highlight w:val="none"/>
        </w:rPr>
        <w:t xml:space="preserve">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w:t>
      </w:r>
      <w:r>
        <w:rPr>
          <w:rFonts w:eastAsia="Arial"/>
          <w:color w:val="000000"/>
        </w:rPr>
        <w:t xml:space="preserve">средств, перечисленных и (или) признаваемых в качестве ЕНП. </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highlight w:val="none"/>
        </w:rPr>
      </w:pPr>
      <w:r>
        <w:rPr>
          <w:color w:val="000000"/>
          <w:highlight w:val="none"/>
        </w:rPr>
        <w:t>В учреждении применяется счет 0.210.05.000 для расчетов с дебиторами по </w:t>
      </w:r>
      <w:r>
        <w:rPr>
          <w:highlight w:val="none"/>
        </w:rPr>
        <w:br w:type="textWrapping"/>
      </w:r>
      <w:r>
        <w:rPr>
          <w:highlight w:val="none"/>
        </w:rPr>
        <w:t>предоставлению учреждением:</w:t>
      </w:r>
    </w:p>
    <w:p>
      <w:pPr>
        <w:numPr>
          <w:ilvl w:val="0"/>
          <w:numId w:val="12"/>
        </w:numPr>
        <w:spacing w:line="276" w:lineRule="auto"/>
        <w:rPr>
          <w:color w:val="000000"/>
        </w:rPr>
      </w:pPr>
      <w:r>
        <w:rPr>
          <w:color w:val="000000"/>
        </w:rPr>
        <w:t>обеспечений заявок на участие в конкурентной закупке при перечислении средств на счет заказчика;</w:t>
      </w:r>
    </w:p>
    <w:p>
      <w:pPr>
        <w:numPr>
          <w:ilvl w:val="0"/>
          <w:numId w:val="12"/>
        </w:numPr>
        <w:spacing w:line="276" w:lineRule="auto"/>
        <w:rPr>
          <w:color w:val="000000"/>
        </w:rPr>
      </w:pPr>
      <w:r>
        <w:t>обеспечений заявок, перечисленных на счет оператора электронной площадки в банке, при проведении электронных аукционов;</w:t>
      </w:r>
    </w:p>
    <w:p>
      <w:pPr>
        <w:numPr>
          <w:ilvl w:val="0"/>
          <w:numId w:val="12"/>
        </w:numPr>
        <w:spacing w:line="276" w:lineRule="auto"/>
        <w:rPr>
          <w:color w:val="000000"/>
        </w:rPr>
      </w:pPr>
      <w:r>
        <w:rPr>
          <w:color w:val="000000"/>
        </w:rPr>
        <w:t>обеспечений исполнения контракта (договора);</w:t>
      </w:r>
    </w:p>
    <w:p>
      <w:pPr>
        <w:numPr>
          <w:ilvl w:val="0"/>
          <w:numId w:val="12"/>
        </w:numPr>
        <w:spacing w:line="276" w:lineRule="auto"/>
        <w:rPr>
          <w:color w:val="000000"/>
        </w:rPr>
      </w:pPr>
      <w:r>
        <w:rPr>
          <w:color w:val="000000"/>
        </w:rPr>
        <w:t>других залогов, задатков.</w:t>
      </w:r>
    </w:p>
    <w:p>
      <w:pPr>
        <w:pStyle w:val="30"/>
        <w:widowControl/>
        <w:spacing w:line="276" w:lineRule="auto"/>
        <w:ind w:right="0" w:firstLine="567"/>
        <w:jc w:val="both"/>
        <w:rPr>
          <w:rFonts w:ascii="Times New Roman" w:hAnsi="Times New Roman" w:cs="Times New Roman"/>
          <w:sz w:val="24"/>
          <w:szCs w:val="24"/>
          <w:highlight w:val="none"/>
        </w:rPr>
      </w:pPr>
      <w:r>
        <w:rPr>
          <w:rFonts w:ascii="Times New Roman" w:hAnsi="Times New Roman" w:cs="Times New Roman"/>
          <w:sz w:val="24"/>
          <w:szCs w:val="24"/>
        </w:rPr>
        <w:t>2.7.</w:t>
      </w:r>
      <w:r>
        <w:rPr>
          <w:rFonts w:ascii="Times New Roman" w:hAnsi="Times New Roman" w:cs="Times New Roman"/>
          <w:sz w:val="24"/>
          <w:szCs w:val="24"/>
          <w:highlight w:val="none"/>
        </w:rPr>
        <w:t xml:space="preserve"> Финансовый результат.</w:t>
      </w:r>
    </w:p>
    <w:p>
      <w:pPr>
        <w:pStyle w:val="30"/>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highlight w:val="none"/>
        </w:rPr>
        <w:t>Начисление доходов текущего года в виде субсидии на выполнение муниципального (государственного) задания производится ежеквартально на последнюю дату в сумме выполненного муниципального (государственного) зад</w:t>
      </w:r>
      <w:r>
        <w:rPr>
          <w:rFonts w:ascii="Times New Roman" w:hAnsi="Times New Roman" w:cs="Times New Roman"/>
          <w:sz w:val="24"/>
          <w:szCs w:val="24"/>
        </w:rPr>
        <w:t>ания. Документы основание: информация о достижении условий соглашения о предоставлении субсидии на предоставление муниципального (государственного) задания: Отчет о выполнении муниципального (государственного) задания для целей завершения в бухгалтерском учете финансового года.</w:t>
      </w:r>
    </w:p>
    <w:p>
      <w:pPr>
        <w:pStyle w:val="30"/>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Отчета о </w:t>
      </w:r>
      <w:r>
        <w:rPr>
          <w:rFonts w:ascii="Times New Roman" w:hAnsi="Times New Roman" w:cs="Times New Roman"/>
          <w:sz w:val="24"/>
          <w:szCs w:val="24"/>
          <w:lang w:val="ru-RU"/>
        </w:rPr>
        <w:t>достижении</w:t>
      </w:r>
      <w:r>
        <w:rPr>
          <w:rFonts w:ascii="Times New Roman" w:hAnsi="Times New Roman" w:cs="Times New Roman"/>
          <w:sz w:val="24"/>
          <w:szCs w:val="24"/>
        </w:rPr>
        <w:t xml:space="preserve"> условий Соглашения.</w:t>
      </w:r>
    </w:p>
    <w:p>
      <w:pPr>
        <w:spacing w:line="276" w:lineRule="auto"/>
        <w:ind w:firstLine="567"/>
        <w:jc w:val="both"/>
        <w:rPr>
          <w:highlight w:val="none"/>
        </w:rPr>
      </w:pPr>
      <w:r>
        <w:t>Начисление дохода от оказания платных услуг по родительской плате, дополнительных платных услуг</w:t>
      </w:r>
      <w:r>
        <w:rPr>
          <w:rFonts w:hint="default"/>
          <w:lang w:val="ru-RU"/>
        </w:rPr>
        <w:t xml:space="preserve"> </w:t>
      </w:r>
      <w:r>
        <w:t xml:space="preserve">производится ежемесячно в последний день месяца на основании Табеля учета посещаемости детей. Начисление дохода от оказания платных услуг за питание сотрудников на счете производится ежемесячно в последний день месяца на основании </w:t>
      </w:r>
      <w:r>
        <w:rPr>
          <w:highlight w:val="none"/>
        </w:rPr>
        <w:t xml:space="preserve">Табеля учета </w:t>
      </w:r>
      <w:r>
        <w:rPr>
          <w:highlight w:val="none"/>
          <w:lang w:val="ru-RU"/>
        </w:rPr>
        <w:t>питания</w:t>
      </w:r>
      <w:r>
        <w:rPr>
          <w:highlight w:val="none"/>
        </w:rPr>
        <w:t xml:space="preserve"> сотрудников.</w:t>
      </w:r>
    </w:p>
    <w:p>
      <w:pPr>
        <w:widowControl w:val="0"/>
        <w:autoSpaceDE w:val="0"/>
        <w:autoSpaceDN w:val="0"/>
        <w:adjustRightInd w:val="0"/>
        <w:spacing w:line="276" w:lineRule="auto"/>
        <w:ind w:firstLine="540"/>
        <w:jc w:val="both"/>
      </w:pPr>
      <w:r>
        <w:t>В составе доходов от приносящей доход деятельности учитываются доходы:</w:t>
      </w:r>
    </w:p>
    <w:p>
      <w:pPr>
        <w:widowControl w:val="0"/>
        <w:numPr>
          <w:ilvl w:val="0"/>
          <w:numId w:val="13"/>
        </w:numPr>
        <w:autoSpaceDE w:val="0"/>
        <w:autoSpaceDN w:val="0"/>
        <w:adjustRightInd w:val="0"/>
        <w:spacing w:line="276" w:lineRule="auto"/>
        <w:jc w:val="both"/>
      </w:pPr>
      <w:r>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r>
        <w:fldChar w:fldCharType="begin"/>
      </w:r>
      <w:r>
        <w:instrText xml:space="preserve"> HYPERLINK "consultantplus://offline/ref=FAAD18F2C704DF3D9B9D3CE1EA42C440175B326A2888E5544DA34A019100C87AEFEFCD2C5FEE931FiC24O" </w:instrText>
      </w:r>
      <w:r>
        <w:fldChar w:fldCharType="separate"/>
      </w:r>
      <w:r>
        <w:t>"4"</w:t>
      </w:r>
      <w:r>
        <w:fldChar w:fldCharType="end"/>
      </w:r>
      <w:r>
        <w:t xml:space="preserve">, </w:t>
      </w:r>
      <w:r>
        <w:fldChar w:fldCharType="begin"/>
      </w:r>
      <w:r>
        <w:instrText xml:space="preserve"> HYPERLINK "consultantplus://offline/ref=FAAD18F2C704DF3D9B9D3CE1EA42C440175B326A2888E5544DA34A019100C87AEFEFCD2C5FEE931FiC25O" </w:instrText>
      </w:r>
      <w:r>
        <w:fldChar w:fldCharType="separate"/>
      </w:r>
      <w:r>
        <w:t>"5"</w:t>
      </w:r>
      <w:r>
        <w:fldChar w:fldCharType="end"/>
      </w:r>
      <w:r>
        <w:t>. 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pPr>
        <w:widowControl w:val="0"/>
        <w:numPr>
          <w:ilvl w:val="0"/>
          <w:numId w:val="13"/>
        </w:numPr>
        <w:autoSpaceDE w:val="0"/>
        <w:autoSpaceDN w:val="0"/>
        <w:adjustRightInd w:val="0"/>
        <w:spacing w:line="276" w:lineRule="auto"/>
        <w:jc w:val="both"/>
      </w:pPr>
      <w:r>
        <w:t>от реализации нефинансовых активов, в том числе активов, приобретенных за счет средств соответствующих субсидий (по кодам вида деятельности "4", "5"). Начисление доходов от реализации в учете учреждения отражается на дату реализации активов (перехода права собственности);</w:t>
      </w:r>
    </w:p>
    <w:p>
      <w:pPr>
        <w:widowControl w:val="0"/>
        <w:numPr>
          <w:ilvl w:val="0"/>
          <w:numId w:val="13"/>
        </w:numPr>
        <w:autoSpaceDE w:val="0"/>
        <w:autoSpaceDN w:val="0"/>
        <w:adjustRightInd w:val="0"/>
        <w:spacing w:line="276" w:lineRule="auto"/>
        <w:jc w:val="both"/>
      </w:pPr>
      <w:r>
        <w:t>от возмещения ущерба имуществу. Начисление доходов от возмещения ущерба отражается на дату выявления недостач, хищений имущества.</w:t>
      </w:r>
    </w:p>
    <w:p>
      <w:pPr>
        <w:widowControl w:val="0"/>
        <w:autoSpaceDE w:val="0"/>
        <w:autoSpaceDN w:val="0"/>
        <w:adjustRightInd w:val="0"/>
        <w:spacing w:line="276" w:lineRule="auto"/>
        <w:ind w:firstLine="567"/>
        <w:jc w:val="both"/>
      </w:pPr>
      <w:r>
        <w:t>В составе прочих доходов от приносящей деятельности учитываются доходы:</w:t>
      </w:r>
    </w:p>
    <w:p>
      <w:pPr>
        <w:widowControl w:val="0"/>
        <w:numPr>
          <w:ilvl w:val="0"/>
          <w:numId w:val="14"/>
        </w:numPr>
        <w:autoSpaceDE w:val="0"/>
        <w:autoSpaceDN w:val="0"/>
        <w:adjustRightInd w:val="0"/>
        <w:spacing w:line="276" w:lineRule="auto"/>
        <w:jc w:val="both"/>
      </w:pPr>
      <w:r>
        <w:t>в суммах, поступивших в качестве обеспечения заявки на участие в конкурсе, аукционе и изъятых учреждением в установленном порядке;</w:t>
      </w:r>
    </w:p>
    <w:p>
      <w:pPr>
        <w:widowControl w:val="0"/>
        <w:numPr>
          <w:ilvl w:val="0"/>
          <w:numId w:val="14"/>
        </w:numPr>
        <w:autoSpaceDE w:val="0"/>
        <w:autoSpaceDN w:val="0"/>
        <w:adjustRightInd w:val="0"/>
        <w:spacing w:line="276" w:lineRule="auto"/>
        <w:jc w:val="both"/>
      </w:pPr>
      <w:r>
        <w:t>полученные в виде излишков имущества;</w:t>
      </w:r>
    </w:p>
    <w:p>
      <w:pPr>
        <w:widowControl w:val="0"/>
        <w:numPr>
          <w:ilvl w:val="0"/>
          <w:numId w:val="14"/>
        </w:numPr>
        <w:autoSpaceDE w:val="0"/>
        <w:autoSpaceDN w:val="0"/>
        <w:adjustRightInd w:val="0"/>
        <w:spacing w:line="276" w:lineRule="auto"/>
        <w:jc w:val="both"/>
      </w:pPr>
      <w:r>
        <w:t>полученные по договорам дарения, пожертвования;</w:t>
      </w:r>
    </w:p>
    <w:p>
      <w:pPr>
        <w:widowControl w:val="0"/>
        <w:numPr>
          <w:ilvl w:val="0"/>
          <w:numId w:val="14"/>
        </w:numPr>
        <w:autoSpaceDE w:val="0"/>
        <w:autoSpaceDN w:val="0"/>
        <w:adjustRightInd w:val="0"/>
        <w:spacing w:line="276" w:lineRule="auto"/>
        <w:jc w:val="both"/>
      </w:pPr>
      <w:r>
        <w:t>полученные в виде грантов, за исключением грантов, полученных в виде субсидии, в том числе на конкурсной основе.</w:t>
      </w:r>
    </w:p>
    <w:p>
      <w:pPr>
        <w:widowControl w:val="0"/>
        <w:autoSpaceDE w:val="0"/>
        <w:autoSpaceDN w:val="0"/>
        <w:adjustRightInd w:val="0"/>
        <w:spacing w:line="276" w:lineRule="auto"/>
        <w:ind w:firstLine="540"/>
        <w:jc w:val="both"/>
        <w:rPr>
          <w:color w:val="auto"/>
          <w:highlight w:val="none"/>
        </w:rPr>
      </w:pPr>
      <w:r>
        <w:rPr>
          <w:highlight w:val="none"/>
        </w:rPr>
        <w:t>В составе доходов от приносящей доход деятельности учитываются доходы в виде арендной платы, включая возмещаемые расходы</w:t>
      </w:r>
      <w:r>
        <w:t xml:space="preserve"> на оплату коммунальных и эксплуатационных услуг в составе арендной платы на общую сумму арендных платежей по договору за весь период пользования объектом. Арендная плата признаются доходами </w:t>
      </w:r>
      <w:r>
        <w:rPr>
          <w:color w:val="auto"/>
          <w:highlight w:val="none"/>
        </w:rPr>
        <w:t>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pPr>
        <w:widowControl w:val="0"/>
        <w:autoSpaceDE w:val="0"/>
        <w:autoSpaceDN w:val="0"/>
        <w:adjustRightInd w:val="0"/>
        <w:spacing w:line="276" w:lineRule="auto"/>
        <w:ind w:firstLine="540"/>
        <w:jc w:val="both"/>
        <w:rPr>
          <w:color w:val="auto"/>
          <w:highlight w:val="none"/>
        </w:rPr>
      </w:pPr>
      <w:r>
        <w:rPr>
          <w:color w:val="auto"/>
          <w:highlight w:val="none"/>
        </w:rPr>
        <w:t>В составе доходов от приносящей доход деятельности на счете 2 401 10 124 учитываются доходы в виде процентов, получаемых от резервирования остатка денежных средств на счете в кредитных организациях. Начисление указанного дохода отражается в учете учреждения на дату получения процентов на банковский счет в соответствии с условиями договора.</w:t>
      </w:r>
    </w:p>
    <w:p>
      <w:pPr>
        <w:widowControl w:val="0"/>
        <w:autoSpaceDE w:val="0"/>
        <w:autoSpaceDN w:val="0"/>
        <w:adjustRightInd w:val="0"/>
        <w:spacing w:line="276" w:lineRule="auto"/>
        <w:ind w:firstLine="540"/>
        <w:jc w:val="both"/>
      </w:pPr>
      <w:r>
        <w:rPr>
          <w:highlight w:val="none"/>
        </w:rPr>
        <w:t>Доходы от возмещения СФР расходов н</w:t>
      </w:r>
      <w:r>
        <w:t xml:space="preserve">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 </w:t>
      </w:r>
    </w:p>
    <w:p>
      <w:pPr>
        <w:widowControl w:val="0"/>
        <w:autoSpaceDE w:val="0"/>
        <w:autoSpaceDN w:val="0"/>
        <w:adjustRightInd w:val="0"/>
        <w:spacing w:line="276" w:lineRule="auto"/>
        <w:ind w:firstLine="540"/>
        <w:jc w:val="both"/>
        <w:rPr>
          <w:highlight w:val="yellow"/>
        </w:rPr>
      </w:pPr>
      <w:r>
        <w:rPr>
          <w:shd w:val="clear" w:color="auto" w:fill="FFFFFF"/>
        </w:rPr>
        <w:t>Начисление доходов от возмещения СФР выше указанных расходов производится на дату Решения СФР о возмещении фактически произведенных расходов страхователя на оплату предупредительных мер в пределах суммы, согласованной с СФР на эти цели.</w:t>
      </w:r>
    </w:p>
    <w:p>
      <w:pPr>
        <w:widowControl w:val="0"/>
        <w:autoSpaceDE w:val="0"/>
        <w:autoSpaceDN w:val="0"/>
        <w:adjustRightInd w:val="0"/>
        <w:spacing w:line="276" w:lineRule="auto"/>
        <w:ind w:firstLine="540"/>
        <w:jc w:val="both"/>
      </w:pPr>
      <w:r>
        <w:t>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учитываются в составе расходов отчетного финансового года на счете 0 401 20 000.</w:t>
      </w:r>
    </w:p>
    <w:p>
      <w:pPr>
        <w:widowControl w:val="0"/>
        <w:autoSpaceDE w:val="0"/>
        <w:autoSpaceDN w:val="0"/>
        <w:adjustRightInd w:val="0"/>
        <w:spacing w:line="276" w:lineRule="auto"/>
        <w:ind w:firstLine="540"/>
        <w:jc w:val="both"/>
      </w:pPr>
      <w:r>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pPr>
        <w:spacing w:line="276" w:lineRule="auto"/>
        <w:ind w:firstLine="567"/>
        <w:jc w:val="both"/>
      </w:pPr>
      <w:r>
        <w:t>В составе расходов будущих периодов на счете 0 401 50 000 "Расходы будущих периодов" отражаются расходы:</w:t>
      </w:r>
    </w:p>
    <w:p>
      <w:pPr>
        <w:spacing w:line="276" w:lineRule="auto"/>
        <w:ind w:firstLine="567"/>
        <w:jc w:val="both"/>
      </w:pPr>
      <w:r>
        <w:t>- иные расходы, начисленные в отчетном периоде, но относящиеся к будущим периодам.</w:t>
      </w:r>
    </w:p>
    <w:p>
      <w:pPr>
        <w:spacing w:line="276" w:lineRule="auto"/>
        <w:ind w:firstLine="567"/>
        <w:jc w:val="both"/>
      </w:pPr>
      <w: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В учреждении формируются следующие виды резервов предстоящих расходов:</w:t>
      </w:r>
    </w:p>
    <w:p>
      <w:pPr>
        <w:pStyle w:val="2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pPr>
        <w:pStyle w:val="2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pPr>
        <w:pStyle w:val="2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обязательств, по которым не поступили расчетные документы;</w:t>
      </w:r>
    </w:p>
    <w:p>
      <w:pPr>
        <w:pStyle w:val="2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резерв по реструктуризации;</w:t>
      </w:r>
    </w:p>
    <w:p>
      <w:pPr>
        <w:pStyle w:val="2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r>
        <w:rPr>
          <w:rFonts w:hint="default"/>
          <w:lang w:val="ru-RU"/>
        </w:rPr>
        <w:t>.</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highlight w:val="none"/>
        </w:rPr>
      </w:pPr>
      <w:r>
        <w:rPr>
          <w:color w:val="22272F"/>
          <w:highlight w:val="none"/>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 и использования резервов предстоящих расходов, установленным Учетной политикой.</w:t>
      </w:r>
    </w:p>
    <w:p>
      <w:pPr>
        <w:ind w:firstLine="540"/>
        <w:jc w:val="both"/>
        <w:rPr>
          <w:highlight w:val="none"/>
        </w:rPr>
      </w:pPr>
      <w:r>
        <w:rPr>
          <w:highlight w:val="none"/>
        </w:rPr>
        <w:t>2.8. Санкционирование расходов.</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Pr>
          <w:highlight w:val="none"/>
        </w:rPr>
        <w:t>Учет принимаемых обязательств осуще</w:t>
      </w:r>
      <w:r>
        <w:t>ствляется на основании: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утвержденной руководителем заявки-обоснования закупки товаров, работ, услуг малого объема и отчета о расходах подотчетного лица (ф. 0504520).</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денежных обязательств осуществляется на основании: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расчетной ведомости (ф. 0504402);</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записки-расчета об исчислении среднего заработка при предоставлении отпуска, увольнении и других случаях (ф. 0504425);</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бухгалтерской справки (ф. 0504833);</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выполненных работ;</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в случае осуществления авансовых платежей в соответствии с его условиями;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отчета о расходах подотчетного лица (ф. 0504520);</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о командировании на территории РФ (ф. 0504512).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br w:type="textWrapping"/>
      </w:r>
      <w:r>
        <w:t xml:space="preserve">расходах), отражаемая на соответствующих счетах рабочего плана счетов, должна быть </w:t>
      </w:r>
      <w:r>
        <w:br w:type="textWrapping"/>
      </w:r>
      <w:r>
        <w:t>полной, сообразной с существенностью.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3.2. Исправление ошибок, осуществлять в соответствии с порядком,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3.3. Оперативная отчетность в рамках управленческого учета формируется Учреждением в порядке и сроки, установленные Учредителем.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3.7. Порядок передачи документов и дел при смене руководителя, главного бухгалтера установлен Учетной политикой.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Для обеспечения раскрытия информации о связанных сторонах в годовой отчетности согласно порядка, предусмотренного СГС «Информация о связанных сторонах», 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 Определение или уточнение перечня связанных сторон осуществляется ежегодно не позднее 31 декабря.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Ответственным за формирование и уточнение перечня связанных сторон, а так же формирование Информации о связанных сторонах и об операциях со связанными сторонами в годовой бюджетной (бухгалтерской) отчетности являетс</w:t>
      </w:r>
      <w:r>
        <w:rPr>
          <w:highlight w:val="none"/>
        </w:rPr>
        <w:t>я Главный бухгалтер уч</w:t>
      </w:r>
      <w:r>
        <w:t>реждения.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4Х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4Х 000 (например, обязательства по возврату в бюджет остатка неиспользованных целевых субсидий).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headerReference r:id="rId3" w:type="default"/>
      <w:headerReference r:id="rId4" w:type="even"/>
      <w:pgSz w:w="11906" w:h="16838"/>
      <w:pgMar w:top="1134" w:right="1134" w:bottom="284" w:left="1134" w:header="720" w:footer="720" w:gutter="0"/>
      <w:cols w:space="708" w:num="1"/>
      <w:docGrid w:linePitch="2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DejaVu Sans">
    <w:panose1 w:val="020B0606030804020204"/>
    <w:charset w:val="00"/>
    <w:family w:val="auto"/>
    <w:pitch w:val="default"/>
    <w:sig w:usb0="E7006EFF" w:usb1="D200FDFF" w:usb2="0A246029" w:usb3="0400200C" w:csb0="600001FF" w:csb1="DFFF0000"/>
  </w:font>
  <w:font w:name="黑体">
    <w:altName w:val="Times New Roman"/>
    <w:panose1 w:val="02010609060101010101"/>
    <w:charset w:val="00"/>
    <w:family w:val="modern"/>
    <w:pitch w:val="default"/>
    <w:sig w:usb0="800002BF" w:usb1="38CF7CFA" w:usb2="00000016" w:usb3="00000000" w:csb0="00040001" w:csb1="00000000"/>
  </w:font>
  <w:font w:name="Wingdings">
    <w:altName w:val="Arimo"/>
    <w:panose1 w:val="05000000000000000000"/>
    <w:charset w:val="00"/>
    <w:family w:val="auto"/>
    <w:pitch w:val="default"/>
    <w:sig w:usb0="00000000" w:usb1="00000000" w:usb2="00000000" w:usb3="00000000" w:csb0="80000000" w:csb1="00000000"/>
  </w:font>
  <w:font w:name="Arimo">
    <w:panose1 w:val="020B0604020202020204"/>
    <w:charset w:val="00"/>
    <w:family w:val="auto"/>
    <w:pitch w:val="default"/>
    <w:sig w:usb0="E0000AFF" w:usb1="500078FF" w:usb2="00000021" w:usb3="00000000" w:csb0="600001BF" w:csb1="DFF70000"/>
  </w:font>
  <w:font w:name="Calibri">
    <w:altName w:val="DejaVu Sans"/>
    <w:panose1 w:val="020F0502020204030204"/>
    <w:charset w:val="00"/>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6" w:usb3="00000000" w:csb0="00040001" w:csb1="00000000"/>
  </w:font>
  <w:font w:name="Arial">
    <w:altName w:val="Nimbus Roman No9 L"/>
    <w:panose1 w:val="020B0604020202020204"/>
    <w:charset w:val="CC"/>
    <w:family w:val="swiss"/>
    <w:pitch w:val="default"/>
    <w:sig w:usb0="00000000" w:usb1="00000000" w:usb2="00000009" w:usb3="00000000" w:csb0="000001FF" w:csb1="00000000"/>
  </w:font>
  <w:font w:name="Courier New">
    <w:altName w:val="DejaVu Sans"/>
    <w:panose1 w:val="02070309020205020404"/>
    <w:charset w:val="CC"/>
    <w:family w:val="modern"/>
    <w:pitch w:val="default"/>
    <w:sig w:usb0="00000000" w:usb1="00000000" w:usb2="00000009" w:usb3="00000000" w:csb0="000001FF" w:csb1="00000000"/>
  </w:font>
  <w:font w:name="Tahoma">
    <w:altName w:val="Droid Sans"/>
    <w:panose1 w:val="020B0604030504040204"/>
    <w:charset w:val="CC"/>
    <w:family w:val="swiss"/>
    <w:pitch w:val="default"/>
    <w:sig w:usb0="00000000" w:usb1="00000000" w:usb2="00000029" w:usb3="00000000" w:csb0="000101FF" w:csb1="00000000"/>
  </w:font>
  <w:font w:name="Droid Sans">
    <w:panose1 w:val="020B0502000000000001"/>
    <w:charset w:val="00"/>
    <w:family w:val="auto"/>
    <w:pitch w:val="default"/>
    <w:sig w:usb0="80000000" w:usb1="08070000" w:usb2="00000010" w:usb3="00000000" w:csb0="00000001" w:csb1="00000000"/>
  </w:font>
  <w:font w:name="Cambria">
    <w:altName w:val="Caladea"/>
    <w:panose1 w:val="02040503050406030204"/>
    <w:charset w:val="CC"/>
    <w:family w:val="roman"/>
    <w:pitch w:val="default"/>
    <w:sig w:usb0="00000000" w:usb1="00000000" w:usb2="02000000" w:usb3="00000000" w:csb0="0000019F" w:csb1="00000000"/>
  </w:font>
  <w:font w:name="Caladea">
    <w:panose1 w:val="02040503050406030204"/>
    <w:charset w:val="00"/>
    <w:family w:val="auto"/>
    <w:pitch w:val="default"/>
    <w:sig w:usb0="00000007" w:usb1="00000000" w:usb2="00000000" w:usb3="00000000" w:csb0="20000093" w:csb1="00000000"/>
  </w:font>
  <w:font w:name="Calibri">
    <w:altName w:val="DejaVu Sans"/>
    <w:panose1 w:val="020F0502020204030204"/>
    <w:charset w:val="CC"/>
    <w:family w:val="swiss"/>
    <w:pitch w:val="default"/>
    <w:sig w:usb0="00000000" w:usb1="00000000" w:usb2="00000009" w:usb3="00000000" w:csb0="000001FF" w:csb1="00000000"/>
  </w:font>
  <w:font w:name="Arial Unicode MS">
    <w:altName w:val="Nimbus Roman No9 L"/>
    <w:panose1 w:val="020B0604020202020204"/>
    <w:charset w:val="00"/>
    <w:family w:val="roman"/>
    <w:pitch w:val="default"/>
    <w:sig w:usb0="00000000" w:usb1="00000000" w:usb2="00000000" w:usb3="00000000" w:csb0="00000001" w:csb1="00000000"/>
  </w:font>
  <w:font w:name="Wingdings">
    <w:altName w:val="MathJax_Vector"/>
    <w:panose1 w:val="05000000000000000000"/>
    <w:charset w:val="02"/>
    <w:family w:val="auto"/>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Symbol">
    <w:altName w:val="MathJax_Vector"/>
    <w:panose1 w:val="05050102010706020507"/>
    <w:charset w:val="02"/>
    <w:family w:val="roman"/>
    <w:pitch w:val="default"/>
    <w:sig w:usb0="00000000" w:usb1="00000000" w:usb2="00000000" w:usb3="00000000" w:csb0="80000000" w:csb1="00000000"/>
  </w:font>
  <w:font w:name="Verdana">
    <w:altName w:val="Noto Sans Condensed Medium"/>
    <w:panose1 w:val="020B0604030504040204"/>
    <w:charset w:val="CC"/>
    <w:family w:val="swiss"/>
    <w:pitch w:val="default"/>
    <w:sig w:usb0="00000000" w:usb1="00000000" w:usb2="00000010" w:usb3="00000000" w:csb0="0000019F" w:csb1="00000000"/>
  </w:font>
  <w:font w:name="Noto Sans Condensed Medium">
    <w:panose1 w:val="020B0606040504020204"/>
    <w:charset w:val="00"/>
    <w:family w:val="auto"/>
    <w:pitch w:val="default"/>
    <w:sig w:usb0="E00002FF" w:usb1="4000201F" w:usb2="08000029" w:usb3="00100000" w:csb0="0000019F" w:csb1="00000000"/>
  </w:font>
  <w:font w:name="Times New Roman CYR">
    <w:altName w:val="Nimbus Roman No9 L"/>
    <w:panose1 w:val="02020603050405020304"/>
    <w:charset w:val="CC"/>
    <w:family w:val="roman"/>
    <w:pitch w:val="default"/>
    <w:sig w:usb0="00000000" w:usb1="00000000" w:usb2="00000009" w:usb3="00000000" w:csb0="000001FF" w:csb1="00000000"/>
  </w:font>
  <w:font w:name="PT Serif">
    <w:altName w:val="Arimo"/>
    <w:panose1 w:val="00000000000000000000"/>
    <w:charset w:val="CC"/>
    <w:family w:val="roman"/>
    <w:pitch w:val="default"/>
    <w:sig w:usb0="00000000" w:usb1="00000000" w:usb2="00000000" w:usb3="00000000" w:csb0="0000009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bullet"/>
      <w:suff w:val="space"/>
      <w:lvlText w:val="-"/>
      <w:lvlJc w:val="left"/>
      <w:pPr>
        <w:ind w:left="4535" w:firstLine="0"/>
      </w:pPr>
    </w:lvl>
  </w:abstractNum>
  <w:abstractNum w:abstractNumId="1">
    <w:nsid w:val="01DD3A3E"/>
    <w:multiLevelType w:val="multilevel"/>
    <w:tmpl w:val="01DD3A3E"/>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610F07"/>
    <w:multiLevelType w:val="multilevel"/>
    <w:tmpl w:val="05610F07"/>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2707FA"/>
    <w:multiLevelType w:val="multilevel"/>
    <w:tmpl w:val="072707FA"/>
    <w:lvl w:ilvl="0" w:tentative="0">
      <w:start w:val="1"/>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1B5B2C"/>
    <w:multiLevelType w:val="multilevel"/>
    <w:tmpl w:val="1D1B5B2C"/>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F447ECA"/>
    <w:multiLevelType w:val="multilevel"/>
    <w:tmpl w:val="2F447ECA"/>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42D683B"/>
    <w:multiLevelType w:val="multilevel"/>
    <w:tmpl w:val="342D683B"/>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93D1712"/>
    <w:multiLevelType w:val="multilevel"/>
    <w:tmpl w:val="393D1712"/>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E42808"/>
    <w:multiLevelType w:val="multilevel"/>
    <w:tmpl w:val="4BE42808"/>
    <w:lvl w:ilvl="0" w:tentative="0">
      <w:start w:val="1"/>
      <w:numFmt w:val="bullet"/>
      <w:lvlText w:val="-"/>
      <w:lvlJc w:val="left"/>
      <w:pPr>
        <w:ind w:left="600" w:hanging="360"/>
      </w:pPr>
      <w:rPr>
        <w:rFonts w:hint="default"/>
      </w:rPr>
    </w:lvl>
    <w:lvl w:ilvl="1" w:tentative="0">
      <w:start w:val="1"/>
      <w:numFmt w:val="bullet"/>
      <w:lvlText w:val="o"/>
      <w:lvlJc w:val="left"/>
      <w:pPr>
        <w:ind w:left="1320" w:hanging="360"/>
      </w:pPr>
      <w:rPr>
        <w:rFonts w:hint="default" w:ascii="Courier New" w:hAnsi="Courier New" w:cs="Courier New"/>
      </w:rPr>
    </w:lvl>
    <w:lvl w:ilvl="2" w:tentative="0">
      <w:start w:val="1"/>
      <w:numFmt w:val="bullet"/>
      <w:lvlText w:val=""/>
      <w:lvlJc w:val="left"/>
      <w:pPr>
        <w:ind w:left="2040" w:hanging="360"/>
      </w:pPr>
      <w:rPr>
        <w:rFonts w:hint="default" w:ascii="Wingdings" w:hAnsi="Wingdings"/>
      </w:rPr>
    </w:lvl>
    <w:lvl w:ilvl="3" w:tentative="0">
      <w:start w:val="1"/>
      <w:numFmt w:val="bullet"/>
      <w:lvlText w:val=""/>
      <w:lvlJc w:val="left"/>
      <w:pPr>
        <w:ind w:left="2760" w:hanging="360"/>
      </w:pPr>
      <w:rPr>
        <w:rFonts w:hint="default" w:ascii="Symbol" w:hAnsi="Symbol"/>
      </w:rPr>
    </w:lvl>
    <w:lvl w:ilvl="4" w:tentative="0">
      <w:start w:val="1"/>
      <w:numFmt w:val="bullet"/>
      <w:lvlText w:val="o"/>
      <w:lvlJc w:val="left"/>
      <w:pPr>
        <w:ind w:left="3480" w:hanging="360"/>
      </w:pPr>
      <w:rPr>
        <w:rFonts w:hint="default" w:ascii="Courier New" w:hAnsi="Courier New" w:cs="Courier New"/>
      </w:rPr>
    </w:lvl>
    <w:lvl w:ilvl="5" w:tentative="0">
      <w:start w:val="1"/>
      <w:numFmt w:val="bullet"/>
      <w:lvlText w:val=""/>
      <w:lvlJc w:val="left"/>
      <w:pPr>
        <w:ind w:left="4200" w:hanging="360"/>
      </w:pPr>
      <w:rPr>
        <w:rFonts w:hint="default" w:ascii="Wingdings" w:hAnsi="Wingdings"/>
      </w:rPr>
    </w:lvl>
    <w:lvl w:ilvl="6" w:tentative="0">
      <w:start w:val="1"/>
      <w:numFmt w:val="bullet"/>
      <w:lvlText w:val=""/>
      <w:lvlJc w:val="left"/>
      <w:pPr>
        <w:ind w:left="4920" w:hanging="360"/>
      </w:pPr>
      <w:rPr>
        <w:rFonts w:hint="default" w:ascii="Symbol" w:hAnsi="Symbol"/>
      </w:rPr>
    </w:lvl>
    <w:lvl w:ilvl="7" w:tentative="0">
      <w:start w:val="1"/>
      <w:numFmt w:val="bullet"/>
      <w:lvlText w:val="o"/>
      <w:lvlJc w:val="left"/>
      <w:pPr>
        <w:ind w:left="5640" w:hanging="360"/>
      </w:pPr>
      <w:rPr>
        <w:rFonts w:hint="default" w:ascii="Courier New" w:hAnsi="Courier New" w:cs="Courier New"/>
      </w:rPr>
    </w:lvl>
    <w:lvl w:ilvl="8" w:tentative="0">
      <w:start w:val="1"/>
      <w:numFmt w:val="bullet"/>
      <w:lvlText w:val=""/>
      <w:lvlJc w:val="left"/>
      <w:pPr>
        <w:ind w:left="6360" w:hanging="360"/>
      </w:pPr>
      <w:rPr>
        <w:rFonts w:hint="default" w:ascii="Wingdings" w:hAnsi="Wingdings"/>
      </w:rPr>
    </w:lvl>
  </w:abstractNum>
  <w:abstractNum w:abstractNumId="9">
    <w:nsid w:val="4F3F770A"/>
    <w:multiLevelType w:val="multilevel"/>
    <w:tmpl w:val="4F3F770A"/>
    <w:lvl w:ilvl="0" w:tentative="0">
      <w:start w:val="1"/>
      <w:numFmt w:val="decimal"/>
      <w:pStyle w:val="2"/>
      <w:suff w:val="space"/>
      <w:lvlText w:val="%1."/>
      <w:lvlJc w:val="left"/>
      <w:rPr>
        <w:rFonts w:hint="default"/>
      </w:rPr>
    </w:lvl>
    <w:lvl w:ilvl="1" w:tentative="0">
      <w:start w:val="1"/>
      <w:numFmt w:val="decimal"/>
      <w:pStyle w:val="3"/>
      <w:suff w:val="space"/>
      <w:lvlText w:val="%1.%2."/>
      <w:lvlJc w:val="left"/>
      <w:rPr>
        <w:rFonts w:hint="default"/>
      </w:rPr>
    </w:lvl>
    <w:lvl w:ilvl="2" w:tentative="0">
      <w:start w:val="1"/>
      <w:numFmt w:val="decimal"/>
      <w:pStyle w:val="4"/>
      <w:suff w:val="space"/>
      <w:lvlText w:val="%1.%2.%3."/>
      <w:lvlJc w:val="left"/>
      <w:rPr>
        <w:rFonts w:hint="default"/>
      </w:rPr>
    </w:lvl>
    <w:lvl w:ilvl="3" w:tentative="0">
      <w:start w:val="1"/>
      <w:numFmt w:val="decimal"/>
      <w:pStyle w:val="5"/>
      <w:suff w:val="space"/>
      <w:lvlText w:val="%1.%2.%3.%4."/>
      <w:lvlJc w:val="left"/>
      <w:rPr>
        <w:rFonts w:hint="default"/>
      </w:rPr>
    </w:lvl>
    <w:lvl w:ilvl="4" w:tentative="0">
      <w:start w:val="1"/>
      <w:numFmt w:val="decimal"/>
      <w:pStyle w:val="6"/>
      <w:suff w:val="space"/>
      <w:lvlText w:val="%1.%2.%3.%4.%5."/>
      <w:lvlJc w:val="left"/>
      <w:rPr>
        <w:rFonts w:hint="default"/>
      </w:rPr>
    </w:lvl>
    <w:lvl w:ilvl="5" w:tentative="0">
      <w:start w:val="1"/>
      <w:numFmt w:val="decimal"/>
      <w:pStyle w:val="7"/>
      <w:suff w:val="space"/>
      <w:lvlText w:val="%1.%2.%3.%4.%5.%6."/>
      <w:lvlJc w:val="left"/>
      <w:rPr>
        <w:rFonts w:hint="default"/>
      </w:rPr>
    </w:lvl>
    <w:lvl w:ilvl="6" w:tentative="0">
      <w:start w:val="1"/>
      <w:numFmt w:val="decimal"/>
      <w:pStyle w:val="8"/>
      <w:suff w:val="space"/>
      <w:lvlText w:val="%1.%2.%3.%4.%5.%6.%7."/>
      <w:lvlJc w:val="left"/>
      <w:rPr>
        <w:rFonts w:hint="default"/>
      </w:rPr>
    </w:lvl>
    <w:lvl w:ilvl="7" w:tentative="0">
      <w:start w:val="1"/>
      <w:numFmt w:val="decimal"/>
      <w:pStyle w:val="9"/>
      <w:suff w:val="space"/>
      <w:lvlText w:val="%1.%2.%3.%4.%5.%6.%7.%8."/>
      <w:lvlJc w:val="left"/>
      <w:rPr>
        <w:rFonts w:hint="default"/>
      </w:rPr>
    </w:lvl>
    <w:lvl w:ilvl="8" w:tentative="0">
      <w:start w:val="1"/>
      <w:numFmt w:val="decimal"/>
      <w:pStyle w:val="10"/>
      <w:suff w:val="space"/>
      <w:lvlText w:val="%1.%2.%3.%4.%5.%6.%7.%8.%9."/>
      <w:lvlJc w:val="left"/>
      <w:rPr>
        <w:rFonts w:hint="default"/>
      </w:rPr>
    </w:lvl>
  </w:abstractNum>
  <w:abstractNum w:abstractNumId="10">
    <w:nsid w:val="58C67B31"/>
    <w:multiLevelType w:val="multilevel"/>
    <w:tmpl w:val="58C67B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B7E2B8D"/>
    <w:multiLevelType w:val="multilevel"/>
    <w:tmpl w:val="5B7E2B8D"/>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FC660F3"/>
    <w:multiLevelType w:val="multilevel"/>
    <w:tmpl w:val="6FC660F3"/>
    <w:lvl w:ilvl="0" w:tentative="0">
      <w:start w:val="1"/>
      <w:numFmt w:val="bullet"/>
      <w:lvlText w:val="−"/>
      <w:lvlJc w:val="left"/>
      <w:pPr>
        <w:ind w:left="1287" w:hanging="360"/>
      </w:pPr>
      <w:rPr>
        <w:rFonts w:hint="default" w:ascii="Calibri" w:hAnsi="Calibri"/>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73777E43"/>
    <w:multiLevelType w:val="multilevel"/>
    <w:tmpl w:val="73777E43"/>
    <w:lvl w:ilvl="0" w:tentative="0">
      <w:start w:val="1"/>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
  </w:num>
  <w:num w:numId="5">
    <w:abstractNumId w:val="10"/>
  </w:num>
  <w:num w:numId="6">
    <w:abstractNumId w:val="3"/>
  </w:num>
  <w:num w:numId="7">
    <w:abstractNumId w:val="6"/>
  </w:num>
  <w:num w:numId="8">
    <w:abstractNumId w:val="12"/>
  </w:num>
  <w:num w:numId="9">
    <w:abstractNumId w:val="5"/>
  </w:num>
  <w:num w:numId="10">
    <w:abstractNumId w:val="8"/>
  </w:num>
  <w:num w:numId="11">
    <w:abstractNumId w:val="11"/>
  </w:num>
  <w:num w:numId="12">
    <w:abstractNumId w:val="4"/>
  </w:num>
  <w:num w:numId="13">
    <w:abstractNumId w:val="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90"/>
  <w:drawingGridVerticalSpacing w:val="245"/>
  <w:displayHorizontalDrawingGridEvery w:val="2"/>
  <w:noPunctuationKerning w:val="1"/>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B6A64"/>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5CB1"/>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19E5"/>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 w:val="5DCFFB69"/>
    <w:rsid w:val="7C424F39"/>
    <w:rsid w:val="F6DF060D"/>
    <w:rsid w:val="F6FF8B2B"/>
    <w:rsid w:val="FEBF1A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0"/>
    <w:qFormat/>
    <w:uiPriority w:val="9"/>
    <w:pPr>
      <w:keepNext/>
      <w:keepLines/>
      <w:numPr>
        <w:ilvl w:val="0"/>
        <w:numId w:val="1"/>
      </w:numPr>
      <w:spacing w:before="240" w:after="120" w:line="276" w:lineRule="auto"/>
      <w:jc w:val="center"/>
      <w:outlineLvl w:val="0"/>
    </w:pPr>
    <w:rPr>
      <w:b/>
      <w:bCs/>
      <w:szCs w:val="28"/>
    </w:rPr>
  </w:style>
  <w:style w:type="paragraph" w:styleId="3">
    <w:name w:val="heading 2"/>
    <w:basedOn w:val="1"/>
    <w:next w:val="1"/>
    <w:link w:val="51"/>
    <w:qFormat/>
    <w:uiPriority w:val="9"/>
    <w:pPr>
      <w:numPr>
        <w:ilvl w:val="1"/>
        <w:numId w:val="1"/>
      </w:numPr>
      <w:spacing w:before="120" w:after="120" w:line="276" w:lineRule="auto"/>
      <w:ind w:firstLine="482"/>
      <w:jc w:val="both"/>
      <w:outlineLvl w:val="1"/>
    </w:pPr>
    <w:rPr>
      <w:bCs/>
      <w:sz w:val="22"/>
      <w:szCs w:val="26"/>
    </w:rPr>
  </w:style>
  <w:style w:type="paragraph" w:styleId="4">
    <w:name w:val="heading 3"/>
    <w:basedOn w:val="1"/>
    <w:next w:val="1"/>
    <w:link w:val="52"/>
    <w:qFormat/>
    <w:uiPriority w:val="9"/>
    <w:pPr>
      <w:numPr>
        <w:ilvl w:val="2"/>
        <w:numId w:val="1"/>
      </w:numPr>
      <w:spacing w:before="120" w:after="120" w:line="276" w:lineRule="auto"/>
      <w:ind w:firstLine="482"/>
      <w:jc w:val="both"/>
      <w:outlineLvl w:val="2"/>
    </w:pPr>
    <w:rPr>
      <w:bCs/>
      <w:sz w:val="22"/>
      <w:szCs w:val="22"/>
    </w:rPr>
  </w:style>
  <w:style w:type="paragraph" w:styleId="5">
    <w:name w:val="heading 4"/>
    <w:basedOn w:val="1"/>
    <w:next w:val="1"/>
    <w:link w:val="53"/>
    <w:qFormat/>
    <w:uiPriority w:val="9"/>
    <w:pPr>
      <w:numPr>
        <w:ilvl w:val="3"/>
        <w:numId w:val="1"/>
      </w:numPr>
      <w:spacing w:before="120" w:after="120" w:line="276" w:lineRule="auto"/>
      <w:ind w:firstLine="482"/>
      <w:jc w:val="both"/>
      <w:outlineLvl w:val="3"/>
    </w:pPr>
    <w:rPr>
      <w:bCs/>
      <w:iCs/>
      <w:sz w:val="22"/>
      <w:szCs w:val="22"/>
    </w:rPr>
  </w:style>
  <w:style w:type="paragraph" w:styleId="6">
    <w:name w:val="heading 5"/>
    <w:basedOn w:val="1"/>
    <w:next w:val="1"/>
    <w:link w:val="54"/>
    <w:qFormat/>
    <w:uiPriority w:val="9"/>
    <w:pPr>
      <w:keepNext/>
      <w:keepLines/>
      <w:numPr>
        <w:ilvl w:val="4"/>
        <w:numId w:val="1"/>
      </w:numPr>
      <w:spacing w:before="200" w:line="276" w:lineRule="auto"/>
      <w:ind w:firstLine="482"/>
      <w:jc w:val="both"/>
      <w:outlineLvl w:val="4"/>
    </w:pPr>
    <w:rPr>
      <w:sz w:val="22"/>
      <w:szCs w:val="22"/>
    </w:rPr>
  </w:style>
  <w:style w:type="paragraph" w:styleId="7">
    <w:name w:val="heading 6"/>
    <w:basedOn w:val="1"/>
    <w:next w:val="1"/>
    <w:link w:val="55"/>
    <w:qFormat/>
    <w:uiPriority w:val="9"/>
    <w:pPr>
      <w:keepNext/>
      <w:keepLines/>
      <w:numPr>
        <w:ilvl w:val="5"/>
        <w:numId w:val="1"/>
      </w:numPr>
      <w:spacing w:before="200" w:line="276" w:lineRule="auto"/>
      <w:ind w:firstLine="482"/>
      <w:jc w:val="both"/>
      <w:outlineLvl w:val="5"/>
    </w:pPr>
    <w:rPr>
      <w:i/>
      <w:iCs/>
      <w:color w:val="243F60"/>
      <w:sz w:val="22"/>
      <w:szCs w:val="22"/>
    </w:rPr>
  </w:style>
  <w:style w:type="paragraph" w:styleId="8">
    <w:name w:val="heading 7"/>
    <w:basedOn w:val="1"/>
    <w:next w:val="1"/>
    <w:link w:val="56"/>
    <w:qFormat/>
    <w:uiPriority w:val="9"/>
    <w:pPr>
      <w:keepNext/>
      <w:keepLines/>
      <w:numPr>
        <w:ilvl w:val="6"/>
        <w:numId w:val="1"/>
      </w:numPr>
      <w:spacing w:before="200" w:line="276" w:lineRule="auto"/>
      <w:ind w:firstLine="482"/>
      <w:jc w:val="both"/>
      <w:outlineLvl w:val="6"/>
    </w:pPr>
    <w:rPr>
      <w:i/>
      <w:iCs/>
      <w:color w:val="404040"/>
      <w:sz w:val="22"/>
      <w:szCs w:val="22"/>
    </w:rPr>
  </w:style>
  <w:style w:type="paragraph" w:styleId="9">
    <w:name w:val="heading 8"/>
    <w:basedOn w:val="1"/>
    <w:next w:val="1"/>
    <w:link w:val="57"/>
    <w:qFormat/>
    <w:uiPriority w:val="9"/>
    <w:pPr>
      <w:keepNext/>
      <w:keepLines/>
      <w:numPr>
        <w:ilvl w:val="7"/>
        <w:numId w:val="1"/>
      </w:numPr>
      <w:spacing w:before="200" w:line="276" w:lineRule="auto"/>
      <w:ind w:firstLine="482"/>
      <w:jc w:val="both"/>
      <w:outlineLvl w:val="7"/>
    </w:pPr>
    <w:rPr>
      <w:color w:val="4F81BD"/>
      <w:sz w:val="22"/>
      <w:szCs w:val="20"/>
    </w:rPr>
  </w:style>
  <w:style w:type="paragraph" w:styleId="10">
    <w:name w:val="heading 9"/>
    <w:basedOn w:val="1"/>
    <w:next w:val="1"/>
    <w:link w:val="58"/>
    <w:qFormat/>
    <w:uiPriority w:val="9"/>
    <w:pPr>
      <w:keepNext/>
      <w:keepLines/>
      <w:numPr>
        <w:ilvl w:val="8"/>
        <w:numId w:val="1"/>
      </w:numPr>
      <w:spacing w:before="200" w:line="276" w:lineRule="auto"/>
      <w:ind w:firstLine="482"/>
      <w:jc w:val="both"/>
      <w:outlineLvl w:val="8"/>
    </w:pPr>
    <w:rPr>
      <w:i/>
      <w:iCs/>
      <w:color w:val="404040"/>
      <w:sz w:val="22"/>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qFormat/>
    <w:uiPriority w:val="0"/>
    <w:rPr>
      <w:vertAlign w:val="superscript"/>
    </w:rPr>
  </w:style>
  <w:style w:type="character" w:styleId="15">
    <w:name w:val="annotation reference"/>
    <w:qFormat/>
    <w:uiPriority w:val="0"/>
    <w:rPr>
      <w:sz w:val="16"/>
      <w:szCs w:val="16"/>
    </w:rPr>
  </w:style>
  <w:style w:type="character" w:styleId="16">
    <w:name w:val="endnote reference"/>
    <w:qFormat/>
    <w:uiPriority w:val="0"/>
    <w:rPr>
      <w:vertAlign w:val="superscript"/>
    </w:rPr>
  </w:style>
  <w:style w:type="character" w:styleId="17">
    <w:name w:val="Hyperlink"/>
    <w:qFormat/>
    <w:uiPriority w:val="0"/>
    <w:rPr>
      <w:color w:val="076F2F"/>
      <w:u w:val="single"/>
    </w:rPr>
  </w:style>
  <w:style w:type="character" w:styleId="18">
    <w:name w:val="page number"/>
    <w:basedOn w:val="11"/>
    <w:qFormat/>
    <w:uiPriority w:val="0"/>
  </w:style>
  <w:style w:type="paragraph" w:styleId="19">
    <w:name w:val="Balloon Text"/>
    <w:basedOn w:val="1"/>
    <w:link w:val="46"/>
    <w:qFormat/>
    <w:uiPriority w:val="0"/>
    <w:rPr>
      <w:rFonts w:ascii="Tahoma" w:hAnsi="Tahoma" w:cs="Tahoma"/>
      <w:sz w:val="16"/>
      <w:szCs w:val="16"/>
    </w:rPr>
  </w:style>
  <w:style w:type="paragraph" w:styleId="20">
    <w:name w:val="endnote text"/>
    <w:basedOn w:val="1"/>
    <w:link w:val="43"/>
    <w:qFormat/>
    <w:uiPriority w:val="0"/>
    <w:rPr>
      <w:sz w:val="20"/>
      <w:szCs w:val="20"/>
    </w:rPr>
  </w:style>
  <w:style w:type="paragraph" w:styleId="21">
    <w:name w:val="annotation text"/>
    <w:basedOn w:val="1"/>
    <w:link w:val="44"/>
    <w:qFormat/>
    <w:uiPriority w:val="0"/>
    <w:rPr>
      <w:sz w:val="20"/>
      <w:szCs w:val="20"/>
    </w:rPr>
  </w:style>
  <w:style w:type="paragraph" w:styleId="22">
    <w:name w:val="annotation subject"/>
    <w:basedOn w:val="21"/>
    <w:next w:val="21"/>
    <w:link w:val="45"/>
    <w:qFormat/>
    <w:uiPriority w:val="0"/>
    <w:rPr>
      <w:b/>
      <w:bCs/>
    </w:rPr>
  </w:style>
  <w:style w:type="paragraph" w:styleId="23">
    <w:name w:val="footnote text"/>
    <w:basedOn w:val="1"/>
    <w:link w:val="42"/>
    <w:qFormat/>
    <w:uiPriority w:val="0"/>
    <w:rPr>
      <w:sz w:val="20"/>
      <w:szCs w:val="20"/>
    </w:rPr>
  </w:style>
  <w:style w:type="paragraph" w:styleId="24">
    <w:name w:val="header"/>
    <w:basedOn w:val="1"/>
    <w:qFormat/>
    <w:uiPriority w:val="0"/>
    <w:pPr>
      <w:tabs>
        <w:tab w:val="center" w:pos="4677"/>
        <w:tab w:val="right" w:pos="9355"/>
      </w:tabs>
    </w:pPr>
  </w:style>
  <w:style w:type="paragraph" w:styleId="25">
    <w:name w:val="footer"/>
    <w:basedOn w:val="1"/>
    <w:qFormat/>
    <w:uiPriority w:val="0"/>
    <w:pPr>
      <w:tabs>
        <w:tab w:val="center" w:pos="4677"/>
        <w:tab w:val="right" w:pos="9355"/>
      </w:tabs>
    </w:pPr>
  </w:style>
  <w:style w:type="paragraph" w:styleId="26">
    <w:name w:val="Normal (Web)"/>
    <w:basedOn w:val="1"/>
    <w:qFormat/>
    <w:uiPriority w:val="99"/>
    <w:pPr>
      <w:spacing w:before="100" w:beforeAutospacing="1" w:after="100" w:afterAutospacing="1"/>
    </w:pPr>
  </w:style>
  <w:style w:type="paragraph" w:styleId="27">
    <w:name w:val="Subtitle"/>
    <w:basedOn w:val="1"/>
    <w:next w:val="1"/>
    <w:link w:val="49"/>
    <w:qFormat/>
    <w:uiPriority w:val="0"/>
    <w:pPr>
      <w:spacing w:after="60"/>
      <w:jc w:val="center"/>
      <w:outlineLvl w:val="1"/>
    </w:pPr>
    <w:rPr>
      <w:rFonts w:ascii="Cambria" w:hAnsi="Cambria"/>
    </w:rPr>
  </w:style>
  <w:style w:type="paragraph" w:styleId="28">
    <w:name w:val="HTML Preformatted"/>
    <w:basedOn w:val="1"/>
    <w:link w:val="4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table" w:styleId="29">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onsNormal"/>
    <w:qFormat/>
    <w:uiPriority w:val="0"/>
    <w:pPr>
      <w:widowControl w:val="0"/>
      <w:autoSpaceDE w:val="0"/>
      <w:autoSpaceDN w:val="0"/>
      <w:adjustRightInd w:val="0"/>
      <w:ind w:right="19772" w:firstLine="720"/>
    </w:pPr>
    <w:rPr>
      <w:rFonts w:ascii="Arial" w:hAnsi="Arial" w:eastAsia="Times New Roman" w:cs="Arial"/>
      <w:lang w:val="ru-RU" w:eastAsia="ru-RU" w:bidi="ar-SA"/>
    </w:rPr>
  </w:style>
  <w:style w:type="paragraph" w:customStyle="1" w:styleId="31">
    <w:name w:val="ConsNonformat"/>
    <w:qFormat/>
    <w:uiPriority w:val="0"/>
    <w:pPr>
      <w:widowControl w:val="0"/>
      <w:autoSpaceDE w:val="0"/>
      <w:autoSpaceDN w:val="0"/>
      <w:adjustRightInd w:val="0"/>
      <w:ind w:right="19772"/>
    </w:pPr>
    <w:rPr>
      <w:rFonts w:ascii="Courier New" w:hAnsi="Courier New" w:eastAsia="Times New Roman" w:cs="Courier New"/>
      <w:lang w:val="ru-RU" w:eastAsia="ru-RU" w:bidi="ar-SA"/>
    </w:rPr>
  </w:style>
  <w:style w:type="paragraph" w:customStyle="1" w:styleId="32">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3">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34">
    <w:name w:val="apple-converted-space"/>
    <w:basedOn w:val="11"/>
    <w:qFormat/>
    <w:uiPriority w:val="0"/>
  </w:style>
  <w:style w:type="paragraph" w:customStyle="1" w:styleId="35">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36">
    <w:name w:val="ext_size"/>
    <w:basedOn w:val="11"/>
    <w:qFormat/>
    <w:uiPriority w:val="0"/>
  </w:style>
  <w:style w:type="paragraph" w:customStyle="1" w:styleId="37">
    <w:name w:val="Обычный1"/>
    <w:qFormat/>
    <w:uiPriority w:val="0"/>
    <w:rPr>
      <w:rFonts w:ascii="Arial" w:hAnsi="Arial" w:eastAsia="Times New Roman" w:cs="Times New Roman"/>
      <w:snapToGrid w:val="0"/>
      <w:sz w:val="18"/>
      <w:lang w:val="ru-RU" w:eastAsia="ru-RU" w:bidi="ar-SA"/>
    </w:rPr>
  </w:style>
  <w:style w:type="paragraph" w:customStyle="1" w:styleId="38">
    <w:name w:val="Normal unindented"/>
    <w:qFormat/>
    <w:uiPriority w:val="0"/>
    <w:pPr>
      <w:spacing w:before="120" w:after="120" w:line="276" w:lineRule="auto"/>
      <w:jc w:val="both"/>
    </w:pPr>
    <w:rPr>
      <w:rFonts w:ascii="Times New Roman" w:hAnsi="Times New Roman" w:eastAsia="Times New Roman" w:cs="Times New Roman"/>
      <w:sz w:val="22"/>
      <w:szCs w:val="22"/>
      <w:lang w:val="ru-RU" w:eastAsia="ru-RU" w:bidi="ar-SA"/>
    </w:rPr>
  </w:style>
  <w:style w:type="paragraph" w:styleId="39">
    <w:name w:val="List Paragraph"/>
    <w:basedOn w:val="1"/>
    <w:qFormat/>
    <w:uiPriority w:val="34"/>
    <w:pPr>
      <w:ind w:left="708"/>
    </w:pPr>
  </w:style>
  <w:style w:type="character" w:customStyle="1" w:styleId="40">
    <w:name w:val="Стандартный HTML Знак"/>
    <w:link w:val="28"/>
    <w:qFormat/>
    <w:uiPriority w:val="99"/>
    <w:rPr>
      <w:sz w:val="22"/>
      <w:szCs w:val="22"/>
    </w:rPr>
  </w:style>
  <w:style w:type="character" w:customStyle="1" w:styleId="41">
    <w:name w:val="fill"/>
    <w:qFormat/>
    <w:uiPriority w:val="0"/>
    <w:rPr>
      <w:b/>
      <w:bCs/>
      <w:i/>
      <w:iCs/>
      <w:color w:val="FF0000"/>
    </w:rPr>
  </w:style>
  <w:style w:type="character" w:customStyle="1" w:styleId="42">
    <w:name w:val="Текст сноски Знак"/>
    <w:basedOn w:val="11"/>
    <w:link w:val="23"/>
    <w:qFormat/>
    <w:uiPriority w:val="0"/>
  </w:style>
  <w:style w:type="character" w:customStyle="1" w:styleId="43">
    <w:name w:val="Текст концевой сноски Знак"/>
    <w:basedOn w:val="11"/>
    <w:link w:val="20"/>
    <w:qFormat/>
    <w:uiPriority w:val="0"/>
  </w:style>
  <w:style w:type="character" w:customStyle="1" w:styleId="44">
    <w:name w:val="Текст примечания Знак"/>
    <w:basedOn w:val="11"/>
    <w:link w:val="21"/>
    <w:qFormat/>
    <w:uiPriority w:val="0"/>
  </w:style>
  <w:style w:type="character" w:customStyle="1" w:styleId="45">
    <w:name w:val="Тема примечания Знак"/>
    <w:link w:val="22"/>
    <w:qFormat/>
    <w:uiPriority w:val="0"/>
    <w:rPr>
      <w:b/>
      <w:bCs/>
    </w:rPr>
  </w:style>
  <w:style w:type="character" w:customStyle="1" w:styleId="46">
    <w:name w:val="Текст выноски Знак"/>
    <w:link w:val="19"/>
    <w:qFormat/>
    <w:uiPriority w:val="0"/>
    <w:rPr>
      <w:rFonts w:ascii="Tahoma" w:hAnsi="Tahoma" w:cs="Tahoma"/>
      <w:sz w:val="16"/>
      <w:szCs w:val="16"/>
    </w:rPr>
  </w:style>
  <w:style w:type="character" w:customStyle="1" w:styleId="47">
    <w:name w:val="auto-matches"/>
    <w:qFormat/>
    <w:uiPriority w:val="0"/>
  </w:style>
  <w:style w:type="paragraph" w:customStyle="1" w:styleId="48">
    <w:name w:val="copyright-info"/>
    <w:basedOn w:val="1"/>
    <w:qFormat/>
    <w:uiPriority w:val="0"/>
    <w:pPr>
      <w:spacing w:before="100" w:beforeAutospacing="1" w:after="100" w:afterAutospacing="1"/>
    </w:pPr>
  </w:style>
  <w:style w:type="character" w:customStyle="1" w:styleId="49">
    <w:name w:val="Подзаголовок Знак"/>
    <w:link w:val="27"/>
    <w:qFormat/>
    <w:uiPriority w:val="0"/>
    <w:rPr>
      <w:rFonts w:ascii="Cambria" w:hAnsi="Cambria" w:eastAsia="Times New Roman" w:cs="Times New Roman"/>
      <w:sz w:val="24"/>
      <w:szCs w:val="24"/>
    </w:rPr>
  </w:style>
  <w:style w:type="character" w:customStyle="1" w:styleId="50">
    <w:name w:val="Заголовок 1 Знак"/>
    <w:link w:val="2"/>
    <w:qFormat/>
    <w:uiPriority w:val="9"/>
    <w:rPr>
      <w:b/>
      <w:bCs/>
      <w:sz w:val="24"/>
      <w:szCs w:val="28"/>
    </w:rPr>
  </w:style>
  <w:style w:type="character" w:customStyle="1" w:styleId="51">
    <w:name w:val="Заголовок 2 Знак"/>
    <w:link w:val="3"/>
    <w:qFormat/>
    <w:uiPriority w:val="9"/>
    <w:rPr>
      <w:bCs/>
      <w:sz w:val="22"/>
      <w:szCs w:val="26"/>
    </w:rPr>
  </w:style>
  <w:style w:type="character" w:customStyle="1" w:styleId="52">
    <w:name w:val="Заголовок 3 Знак"/>
    <w:link w:val="4"/>
    <w:qFormat/>
    <w:uiPriority w:val="9"/>
    <w:rPr>
      <w:bCs/>
      <w:sz w:val="22"/>
      <w:szCs w:val="22"/>
    </w:rPr>
  </w:style>
  <w:style w:type="character" w:customStyle="1" w:styleId="53">
    <w:name w:val="Заголовок 4 Знак"/>
    <w:link w:val="5"/>
    <w:qFormat/>
    <w:uiPriority w:val="9"/>
    <w:rPr>
      <w:bCs/>
      <w:iCs/>
      <w:sz w:val="22"/>
      <w:szCs w:val="22"/>
    </w:rPr>
  </w:style>
  <w:style w:type="character" w:customStyle="1" w:styleId="54">
    <w:name w:val="Заголовок 5 Знак"/>
    <w:link w:val="6"/>
    <w:qFormat/>
    <w:uiPriority w:val="9"/>
    <w:rPr>
      <w:sz w:val="22"/>
      <w:szCs w:val="22"/>
    </w:rPr>
  </w:style>
  <w:style w:type="character" w:customStyle="1" w:styleId="55">
    <w:name w:val="Заголовок 6 Знак"/>
    <w:link w:val="7"/>
    <w:qFormat/>
    <w:uiPriority w:val="9"/>
    <w:rPr>
      <w:i/>
      <w:iCs/>
      <w:color w:val="243F60"/>
      <w:sz w:val="22"/>
      <w:szCs w:val="22"/>
    </w:rPr>
  </w:style>
  <w:style w:type="character" w:customStyle="1" w:styleId="56">
    <w:name w:val="Заголовок 7 Знак"/>
    <w:link w:val="8"/>
    <w:qFormat/>
    <w:uiPriority w:val="9"/>
    <w:rPr>
      <w:i/>
      <w:iCs/>
      <w:color w:val="404040"/>
      <w:sz w:val="22"/>
      <w:szCs w:val="22"/>
    </w:rPr>
  </w:style>
  <w:style w:type="character" w:customStyle="1" w:styleId="57">
    <w:name w:val="Заголовок 8 Знак"/>
    <w:link w:val="9"/>
    <w:qFormat/>
    <w:uiPriority w:val="9"/>
    <w:rPr>
      <w:color w:val="4F81BD"/>
      <w:sz w:val="22"/>
    </w:rPr>
  </w:style>
  <w:style w:type="character" w:customStyle="1" w:styleId="58">
    <w:name w:val="Заголовок 9 Знак"/>
    <w:link w:val="10"/>
    <w:qFormat/>
    <w:uiPriority w:val="9"/>
    <w:rPr>
      <w:i/>
      <w:iCs/>
      <w:color w:val="404040"/>
      <w:sz w:val="22"/>
    </w:rPr>
  </w:style>
  <w:style w:type="character" w:customStyle="1" w:styleId="59">
    <w:name w:val="s_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ISIMSELMASH</Company>
  <Pages>1</Pages>
  <Words>14961</Words>
  <Characters>85281</Characters>
  <Lines>710</Lines>
  <Paragraphs>200</Paragraphs>
  <TotalTime>62</TotalTime>
  <ScaleCrop>false</ScaleCrop>
  <LinksUpToDate>false</LinksUpToDate>
  <CharactersWithSpaces>100042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2022-04-27T17:48:00Z</dcterms:created>
  <dc:creator>Панарина ЛВ</dc:creator>
  <cp:lastModifiedBy>glavbuh</cp:lastModifiedBy>
  <cp:lastPrinted>2005-11-23T09:27:00Z</cp:lastPrinted>
  <dcterms:modified xsi:type="dcterms:W3CDTF">2025-03-14T12:24:47Z</dcterms:modified>
  <dc:title>УП</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